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600"/>
      </w:pPr>
      <w:r>
        <w:rPr>
          <w:rFonts w:ascii="Calibri" w:cs="Calibri" w:eastAsia="Calibri" w:hAnsi="Calibri"/>
          <w:sz w:val="22"/>
          <w:szCs w:val="22"/>
        </w:rPr>
        <w:t xml:space="preserve"/>
      </w:r>
    </w:p>
    <w:p>
      <w:pPr>
        <w:spacing w:after="120" w:before="0"/>
        <w:jc w:val="center"/>
      </w:pPr>
      <w:r>
        <w:rPr>
          <w:rFonts w:ascii="Calibri" w:cs="Calibri" w:eastAsia="Calibri" w:hAnsi="Calibri"/>
          <w:b/>
          <w:bCs/>
          <w:caps/>
          <w:color w:val="0D1B3E"/>
          <w:sz w:val="52"/>
          <w:szCs w:val="52"/>
        </w:rPr>
        <w:t xml:space="preserve">INFORME EJECUTIVO</w:t>
      </w:r>
    </w:p>
    <w:p>
      <w:pPr>
        <w:spacing w:after="60" w:before="0"/>
        <w:jc w:val="center"/>
      </w:pPr>
      <w:r>
        <w:rPr>
          <w:rFonts w:ascii="Calibri" w:cs="Calibri" w:eastAsia="Calibri" w:hAnsi="Calibri"/>
          <w:color w:val="333333"/>
          <w:sz w:val="32"/>
          <w:szCs w:val="32"/>
        </w:rPr>
        <w:t xml:space="preserve">Plan de Innovación para las Áreas de</w:t>
      </w:r>
    </w:p>
    <w:p>
      <w:pPr>
        <w:spacing w:after="400" w:before="0"/>
        <w:jc w:val="center"/>
      </w:pPr>
      <w:r>
        <w:rPr>
          <w:rFonts w:ascii="Calibri" w:cs="Calibri" w:eastAsia="Calibri" w:hAnsi="Calibri"/>
          <w:b/>
          <w:bCs/>
          <w:color w:val="C9963A"/>
          <w:sz w:val="36"/>
          <w:szCs w:val="36"/>
        </w:rPr>
        <w:t xml:space="preserve">Mercadeo y Comercial</w:t>
      </w:r>
    </w:p>
    <w:p>
      <w:pPr>
        <w:pBdr>
          <w:bottom w:val="single" w:color="C9963A" w:sz="8"/>
        </w:pBdr>
        <w:spacing w:after="400" w:before="0"/>
      </w:pPr>
      <w:r>
        <w:rPr>
          <w:rFonts w:ascii="Calibri" w:cs="Calibri" w:eastAsia="Calibri" w:hAnsi="Calibri"/>
          <w:sz w:val="22"/>
          <w:szCs w:val="22"/>
        </w:rPr>
        <w:t xml:space="preserve"> </w:t>
      </w:r>
    </w:p>
    <w:p>
      <w:pPr>
        <w:spacing w:after="80" w:before="0"/>
        <w:jc w:val="center"/>
      </w:pPr>
      <w:r>
        <w:rPr>
          <w:rFonts w:ascii="Calibri" w:cs="Calibri" w:eastAsia="Calibri" w:hAnsi="Calibri"/>
          <w:b/>
          <w:bCs/>
          <w:color w:val="0D1B3E"/>
          <w:sz w:val="30"/>
          <w:szCs w:val="30"/>
        </w:rPr>
        <w:t xml:space="preserve">Freskaleche S.A.S.</w:t>
      </w:r>
    </w:p>
    <w:p>
      <w:pPr>
        <w:spacing w:after="80" w:before="0"/>
        <w:jc w:val="center"/>
      </w:pPr>
      <w:r>
        <w:rPr>
          <w:rFonts w:ascii="Calibri" w:cs="Calibri" w:eastAsia="Calibri" w:hAnsi="Calibri"/>
          <w:color w:val="888888"/>
          <w:sz w:val="22"/>
          <w:szCs w:val="22"/>
        </w:rPr>
        <w:t xml:space="preserve">Bucaramanga, Colombia — 2025</w:t>
      </w:r>
    </w:p>
    <w:p>
      <w:pPr>
        <w:spacing w:after="40" w:before="0"/>
        <w:jc w:val="center"/>
      </w:pPr>
      <w:r>
        <w:rPr>
          <w:rFonts w:ascii="Calibri" w:cs="Calibri" w:eastAsia="Calibri" w:hAnsi="Calibri"/>
          <w:i/>
          <w:iCs/>
          <w:color w:val="888888"/>
          <w:sz w:val="20"/>
          <w:szCs w:val="20"/>
        </w:rPr>
        <w:t xml:space="preserve">Elaborado por: María Camila Ballesteros Peña</w:t>
      </w:r>
    </w:p>
    <w:p>
      <w:pPr>
        <w:spacing w:after="600" w:before="0"/>
        <w:jc w:val="center"/>
      </w:pPr>
      <w:r>
        <w:rPr>
          <w:rFonts w:ascii="Calibri" w:cs="Calibri" w:eastAsia="Calibri" w:hAnsi="Calibri"/>
          <w:i/>
          <w:iCs/>
          <w:color w:val="888888"/>
          <w:sz w:val="20"/>
          <w:szCs w:val="20"/>
        </w:rPr>
        <w:t xml:space="preserve">Universidad Industrial de Santander — Ingeniería Industrial</w:t>
      </w:r>
    </w:p>
    <w:p>
      <w:pPr>
        <w:shd w:fill="F5F5F5" w:val="clear"/>
        <w:spacing w:after="120" w:before="120"/>
        <w:ind w:left="360" w:right="360"/>
        <w:jc w:val="center"/>
      </w:pPr>
      <w:r>
        <w:rPr>
          <w:rFonts w:ascii="Calibri" w:cs="Calibri" w:eastAsia="Calibri" w:hAnsi="Calibri"/>
          <w:i/>
          <w:iCs/>
          <w:color w:val="888888"/>
          <w:sz w:val="18"/>
          <w:szCs w:val="18"/>
        </w:rPr>
        <w:t xml:space="preserve">DOCUMENTO CONFIDENCIAL — Para uso exclusivo de las áreas directivas y gerenciales de Freskaleche S.A.S.</w:t>
      </w:r>
    </w:p>
    <w:p>
      <w:pPr>
        <w:spacing w:after="0" w:before="0"/>
      </w:pPr>
      <w:r>
        <w:br w:type="page"/>
      </w:r>
    </w:p>
    <w:p>
      <w:pPr>
        <w:pBdr>
          <w:bottom w:val="single" w:color="C9963A" w:sz="4"/>
        </w:pBdr>
        <w:shd w:fill="0D1B3E" w:val="clear"/>
        <w:spacing w:after="120" w:before="320"/>
        <w:ind w:left="180" w:right="180"/>
        <w:jc w:val="left"/>
      </w:pPr>
      <w:r>
        <w:rPr>
          <w:rFonts w:ascii="Calibri" w:cs="Calibri" w:eastAsia="Calibri" w:hAnsi="Calibri"/>
          <w:b/>
          <w:bCs/>
          <w:color w:val="FFFFFF"/>
          <w:sz w:val="22"/>
          <w:szCs w:val="22"/>
        </w:rPr>
        <w:t xml:space="preserve">1. RESUMEN EJECUTIVO</w:t>
      </w:r>
    </w:p>
    <w:p>
      <w:pPr>
        <w:spacing w:after="100" w:before="60"/>
        <w:jc w:val="both"/>
      </w:pPr>
      <w:r>
        <w:rPr>
          <w:rFonts w:ascii="Calibri" w:cs="Calibri" w:eastAsia="Calibri" w:hAnsi="Calibri"/>
          <w:color w:val="333333"/>
          <w:sz w:val="21"/>
          <w:szCs w:val="21"/>
        </w:rPr>
        <w:t xml:space="preserve">Freskaleche S.A.S., empresa líder del sector lácteo del nororiente colombiano y subsidiaria de Alquería, enfrenta un momento crítico de transformación. A pesar de contar con una conexión emocional sólida con sus consumidores —el 70 % de los bumangueses la percibe como la marca más cercana—, la percepción de innovación es baja y la empresa carece de capacidades digitales, canales de venta directa y procesos formalizados de innovación en sus áreas de mercadeo y comercial.</w:t>
      </w:r>
    </w:p>
    <w:p>
      <w:pPr>
        <w:spacing w:after="100" w:before="60"/>
        <w:jc w:val="both"/>
      </w:pPr>
      <w:r>
        <w:rPr>
          <w:rFonts w:ascii="Calibri" w:cs="Calibri" w:eastAsia="Calibri" w:hAnsi="Calibri"/>
          <w:color w:val="333333"/>
          <w:sz w:val="21"/>
          <w:szCs w:val="21"/>
        </w:rPr>
        <w:t xml:space="preserve">El presente informe resume los hallazgos y propuestas del proyecto de grado “Diseño de un Plan de Innovación para las Áreas de Mercadeo y Comercial de Freskaleche S.A.S.”, desarrollado durante 2024–2025 con metodología científica rigurosa y acceso directo a información interna de la compañía.</w:t>
      </w:r>
    </w:p>
    <w:p>
      <w:pPr>
        <w:spacing w:after="80" w:before="1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320"/>
        <w:gridCol w:w="2320"/>
        <w:gridCol w:w="2320"/>
        <w:gridCol w:w="2320"/>
        <w:gridCol w:w="318"/>
      </w:tblGrid>
      <w:tr>
        <w:tc>
          <w:tcPr>
            <w:tcW w:type="dxa" w:w="2320"/>
            <w:tcBorders>
              <w:top w:val="none" w:color="FFFFFF" w:sz="0"/>
              <w:left w:val="none" w:color="FFFFFF" w:sz="0"/>
              <w:bottom w:val="none" w:color="FFFFFF" w:sz="0"/>
              <w:right w:val="none" w:color="FFFFFF" w:sz="0"/>
            </w:tcBorders>
            <w:shd w:fill="0D1B3E" w:val="clear"/>
            <w:tcMar>
              <w:top w:type="dxa" w:w="120"/>
              <w:left w:type="dxa" w:w="160"/>
              <w:bottom w:type="dxa" w:w="120"/>
              <w:right w:type="dxa" w:w="160"/>
            </w:tcMar>
            <w:vAlign w:val="center"/>
          </w:tcPr>
          <w:p>
            <w:pPr>
              <w:spacing w:after="40" w:before="0"/>
              <w:jc w:val="center"/>
            </w:pPr>
            <w:r>
              <w:rPr>
                <w:rFonts w:ascii="Calibri" w:cs="Calibri" w:eastAsia="Calibri" w:hAnsi="Calibri"/>
                <w:b/>
                <w:bCs/>
                <w:color w:val="FFFFFF"/>
                <w:sz w:val="40"/>
                <w:szCs w:val="40"/>
              </w:rPr>
              <w:t xml:space="preserve">−9 %</w:t>
            </w:r>
          </w:p>
          <w:p>
            <w:pPr>
              <w:spacing w:after="0" w:before="0"/>
              <w:jc w:val="center"/>
            </w:pPr>
            <w:r>
              <w:rPr>
                <w:rFonts w:ascii="Calibri" w:cs="Calibri" w:eastAsia="Calibri" w:hAnsi="Calibri"/>
                <w:color w:val="FFFFFF"/>
                <w:sz w:val="17"/>
                <w:szCs w:val="17"/>
              </w:rPr>
              <w:t xml:space="preserve">Caída consumo leche
(INLAC, 2025)</w:t>
            </w:r>
          </w:p>
        </w:tc>
        <w:tc>
          <w:tcPr>
            <w:tcW w:type="dxa" w:w="2320"/>
            <w:tcBorders>
              <w:top w:val="none" w:color="FFFFFF" w:sz="0"/>
              <w:left w:val="none" w:color="FFFFFF" w:sz="0"/>
              <w:bottom w:val="none" w:color="FFFFFF" w:sz="0"/>
              <w:right w:val="none" w:color="FFFFFF" w:sz="0"/>
            </w:tcBorders>
            <w:shd w:fill="1A8A72" w:val="clear"/>
            <w:tcMar>
              <w:top w:type="dxa" w:w="120"/>
              <w:left w:type="dxa" w:w="160"/>
              <w:bottom w:type="dxa" w:w="120"/>
              <w:right w:type="dxa" w:w="160"/>
            </w:tcMar>
            <w:vAlign w:val="center"/>
          </w:tcPr>
          <w:p>
            <w:pPr>
              <w:spacing w:after="40" w:before="0"/>
              <w:jc w:val="center"/>
            </w:pPr>
            <w:r>
              <w:rPr>
                <w:rFonts w:ascii="Calibri" w:cs="Calibri" w:eastAsia="Calibri" w:hAnsi="Calibri"/>
                <w:b/>
                <w:bCs/>
                <w:color w:val="FFFFFF"/>
                <w:sz w:val="40"/>
                <w:szCs w:val="40"/>
              </w:rPr>
              <w:t xml:space="preserve">+6,2 %</w:t>
            </w:r>
          </w:p>
          <w:p>
            <w:pPr>
              <w:spacing w:after="0" w:before="0"/>
              <w:jc w:val="center"/>
            </w:pPr>
            <w:r>
              <w:rPr>
                <w:rFonts w:ascii="Calibri" w:cs="Calibri" w:eastAsia="Calibri" w:hAnsi="Calibri"/>
                <w:color w:val="FFFFFF"/>
                <w:sz w:val="17"/>
                <w:szCs w:val="17"/>
              </w:rPr>
              <w:t xml:space="preserve">Aumento producción
nacional (Asoleche, 2025)</w:t>
            </w:r>
          </w:p>
        </w:tc>
        <w:tc>
          <w:tcPr>
            <w:tcW w:type="dxa" w:w="2320"/>
            <w:tcBorders>
              <w:top w:val="none" w:color="FFFFFF" w:sz="0"/>
              <w:left w:val="none" w:color="FFFFFF" w:sz="0"/>
              <w:bottom w:val="none" w:color="FFFFFF" w:sz="0"/>
              <w:right w:val="none" w:color="FFFFFF" w:sz="0"/>
            </w:tcBorders>
            <w:shd w:fill="1A5F7A" w:val="clear"/>
            <w:tcMar>
              <w:top w:type="dxa" w:w="120"/>
              <w:left w:type="dxa" w:w="160"/>
              <w:bottom w:type="dxa" w:w="120"/>
              <w:right w:type="dxa" w:w="160"/>
            </w:tcMar>
            <w:vAlign w:val="center"/>
          </w:tcPr>
          <w:p>
            <w:pPr>
              <w:spacing w:after="40" w:before="0"/>
              <w:jc w:val="center"/>
            </w:pPr>
            <w:r>
              <w:rPr>
                <w:rFonts w:ascii="Calibri" w:cs="Calibri" w:eastAsia="Calibri" w:hAnsi="Calibri"/>
                <w:b/>
                <w:bCs/>
                <w:color w:val="FFFFFF"/>
                <w:sz w:val="40"/>
                <w:szCs w:val="40"/>
              </w:rPr>
              <w:t xml:space="preserve">79.000</w:t>
            </w:r>
          </w:p>
          <w:p>
            <w:pPr>
              <w:spacing w:after="0" w:before="0"/>
              <w:jc w:val="center"/>
            </w:pPr>
            <w:r>
              <w:rPr>
                <w:rFonts w:ascii="Calibri" w:cs="Calibri" w:eastAsia="Calibri" w:hAnsi="Calibri"/>
                <w:color w:val="FFFFFF"/>
                <w:sz w:val="17"/>
                <w:szCs w:val="17"/>
              </w:rPr>
              <w:t xml:space="preserve">Empleos sector
lácteo Colombia</w:t>
            </w:r>
          </w:p>
        </w:tc>
        <w:tc>
          <w:tcPr>
            <w:tcW w:type="dxa" w:w="2320"/>
            <w:tcBorders>
              <w:top w:val="none" w:color="FFFFFF" w:sz="0"/>
              <w:left w:val="none" w:color="FFFFFF" w:sz="0"/>
              <w:bottom w:val="none" w:color="FFFFFF" w:sz="0"/>
              <w:right w:val="none" w:color="FFFFFF" w:sz="0"/>
            </w:tcBorders>
            <w:shd w:fill="C9963A" w:val="clear"/>
            <w:tcMar>
              <w:top w:type="dxa" w:w="120"/>
              <w:left w:type="dxa" w:w="160"/>
              <w:bottom w:type="dxa" w:w="120"/>
              <w:right w:type="dxa" w:w="160"/>
            </w:tcMar>
            <w:vAlign w:val="center"/>
          </w:tcPr>
          <w:p>
            <w:pPr>
              <w:spacing w:after="40" w:before="0"/>
              <w:jc w:val="center"/>
            </w:pPr>
            <w:r>
              <w:rPr>
                <w:rFonts w:ascii="Calibri" w:cs="Calibri" w:eastAsia="Calibri" w:hAnsi="Calibri"/>
                <w:b/>
                <w:bCs/>
                <w:color w:val="FFFFFF"/>
                <w:sz w:val="40"/>
                <w:szCs w:val="40"/>
              </w:rPr>
              <w:t xml:space="preserve">70 %</w:t>
            </w:r>
          </w:p>
          <w:p>
            <w:pPr>
              <w:spacing w:after="0" w:before="0"/>
              <w:jc w:val="center"/>
            </w:pPr>
            <w:r>
              <w:rPr>
                <w:rFonts w:ascii="Calibri" w:cs="Calibri" w:eastAsia="Calibri" w:hAnsi="Calibri"/>
                <w:color w:val="FFFFFF"/>
                <w:sz w:val="17"/>
                <w:szCs w:val="17"/>
              </w:rPr>
              <w:t xml:space="preserve">Percepción marca
más cercana</w:t>
            </w:r>
          </w:p>
        </w:tc>
        <w:tc>
          <w:tcPr>
            <w:tcW w:type="dxa" w:w="318"/>
            <w:tcBorders>
              <w:top w:val="none" w:color="FFFFFF" w:sz="0"/>
              <w:left w:val="none" w:color="FFFFFF" w:sz="0"/>
              <w:bottom w:val="none" w:color="FFFFFF" w:sz="0"/>
              <w:right w:val="none" w:color="FFFFFF" w:sz="0"/>
            </w:tcBorders>
          </w:tcPr>
          <w:p/>
        </w:tc>
      </w:tr>
    </w:tbl>
    <w:p>
      <w:pPr>
        <w:spacing w:after="120" w:before="80"/>
      </w:pPr>
    </w:p>
    <w:p>
      <w:pPr>
        <w:spacing w:after="100" w:before="60"/>
        <w:jc w:val="both"/>
      </w:pPr>
      <w:r>
        <w:rPr>
          <w:rFonts w:ascii="Calibri" w:cs="Calibri" w:eastAsia="Calibri" w:hAnsi="Calibri"/>
          <w:color w:val="333333"/>
          <w:sz w:val="21"/>
          <w:szCs w:val="21"/>
        </w:rPr>
        <w:t xml:space="preserve">Como resultado del análisis, se diseñó un portafolio de tres proyectos de innovación —Sprint Comercial, Freskaleche Digital y Eco-Hub— con planes de acción detallados, objetivos SMART, KPI’s y cronograma de ejecución 2026–2027.</w:t>
      </w:r>
    </w:p>
    <w:p>
      <w:pPr>
        <w:pBdr>
          <w:bottom w:val="single" w:color="C9963A" w:sz="4"/>
        </w:pBdr>
        <w:shd w:fill="0D1B3E" w:val="clear"/>
        <w:spacing w:after="120" w:before="320"/>
        <w:ind w:left="180" w:right="180"/>
        <w:jc w:val="left"/>
      </w:pPr>
      <w:r>
        <w:rPr>
          <w:rFonts w:ascii="Calibri" w:cs="Calibri" w:eastAsia="Calibri" w:hAnsi="Calibri"/>
          <w:b/>
          <w:bCs/>
          <w:color w:val="FFFFFF"/>
          <w:sz w:val="22"/>
          <w:szCs w:val="22"/>
        </w:rPr>
        <w:t xml:space="preserve">2. CONTEXTO ESTRATÉGICO</w:t>
      </w:r>
    </w:p>
    <w:p>
      <w:pPr>
        <w:spacing w:after="80" w:before="240"/>
      </w:pPr>
      <w:r>
        <w:rPr>
          <w:rFonts w:ascii="Calibri" w:cs="Calibri" w:eastAsia="Calibri" w:hAnsi="Calibri"/>
          <w:b/>
          <w:bCs/>
          <w:color w:val="0D1B3E"/>
          <w:sz w:val="24"/>
          <w:szCs w:val="24"/>
        </w:rPr>
        <w:t xml:space="preserve">El sector lácteo colombiano hoy</w:t>
      </w:r>
    </w:p>
    <w:p>
      <w:pPr>
        <w:spacing w:after="100" w:before="60"/>
        <w:jc w:val="both"/>
      </w:pPr>
      <w:r>
        <w:rPr>
          <w:rFonts w:ascii="Calibri" w:cs="Calibri" w:eastAsia="Calibri" w:hAnsi="Calibri"/>
          <w:color w:val="333333"/>
          <w:sz w:val="21"/>
          <w:szCs w:val="21"/>
        </w:rPr>
        <w:t xml:space="preserve">El mercado lácteo enfrenta una paradoja: la producción crece pero el consumo cae. La caída del 9 % en el consumo de leche se explica principalmente por la brecha entre precios al productor (a la baja) y precios al consumidor final (en alza), que ha deteriorado el poder adquisitivo de los hogares. Al mismo tiempo, competidores nacionales como Alpina, Alquería y Colanta han acelerado su transformación digital y su portafolio de productos funcionales.</w:t>
      </w:r>
    </w:p>
    <w:p>
      <w:pPr>
        <w:spacing w:after="100" w:before="60"/>
        <w:jc w:val="both"/>
      </w:pPr>
      <w:r>
        <w:rPr>
          <w:rFonts w:ascii="Calibri" w:cs="Calibri" w:eastAsia="Calibri" w:hAnsi="Calibri"/>
          <w:color w:val="333333"/>
          <w:sz w:val="21"/>
          <w:szCs w:val="21"/>
        </w:rPr>
        <w:t xml:space="preserve">En el plano global, el análisis bibliométrico de 208 publicaciones científicas (2019–2025) identificó cinco mega-tendencias que están redefiniendo el sector:</w:t>
      </w:r>
    </w:p>
    <w:p>
      <w:pPr>
        <w:pStyle w:val="ListParagraph"/>
        <w:numPr>
          <w:ilvl w:val="0"/>
          <w:numId w:val="2"/>
        </w:numPr>
        <w:spacing w:after="60" w:before="40"/>
      </w:pPr>
      <w:r>
        <w:rPr>
          <w:rFonts w:ascii="Calibri" w:cs="Calibri" w:eastAsia="Calibri" w:hAnsi="Calibri"/>
          <w:b/>
          <w:bCs/>
          <w:color w:val="0D1B3E"/>
          <w:sz w:val="21"/>
          <w:szCs w:val="21"/>
        </w:rPr>
        <w:t xml:space="preserve">1. </w:t>
      </w:r>
      <w:r>
        <w:rPr>
          <w:rFonts w:ascii="Calibri" w:cs="Calibri" w:eastAsia="Calibri" w:hAnsi="Calibri"/>
          <w:color w:val="333333"/>
          <w:sz w:val="21"/>
          <w:szCs w:val="21"/>
        </w:rPr>
        <w:t xml:space="preserve">Digitalización de canales: IA, IoT, e-commerce directo al consumidor y analítica avanzada.</w:t>
      </w:r>
    </w:p>
    <w:p>
      <w:pPr>
        <w:pStyle w:val="ListParagraph"/>
        <w:numPr>
          <w:ilvl w:val="0"/>
          <w:numId w:val="2"/>
        </w:numPr>
        <w:spacing w:after="60" w:before="40"/>
      </w:pPr>
      <w:r>
        <w:rPr>
          <w:rFonts w:ascii="Calibri" w:cs="Calibri" w:eastAsia="Calibri" w:hAnsi="Calibri"/>
          <w:b/>
          <w:bCs/>
          <w:color w:val="0D1B3E"/>
          <w:sz w:val="21"/>
          <w:szCs w:val="21"/>
        </w:rPr>
        <w:t xml:space="preserve">2. </w:t>
      </w:r>
      <w:r>
        <w:rPr>
          <w:rFonts w:ascii="Calibri" w:cs="Calibri" w:eastAsia="Calibri" w:hAnsi="Calibri"/>
          <w:color w:val="333333"/>
          <w:sz w:val="21"/>
          <w:szCs w:val="21"/>
        </w:rPr>
        <w:t xml:space="preserve">Sostenibilidad verificable: trazabilidad, bio-certificaciones y economía circular.</w:t>
      </w:r>
    </w:p>
    <w:p>
      <w:pPr>
        <w:pStyle w:val="ListParagraph"/>
        <w:numPr>
          <w:ilvl w:val="0"/>
          <w:numId w:val="2"/>
        </w:numPr>
        <w:spacing w:after="60" w:before="40"/>
      </w:pPr>
      <w:r>
        <w:rPr>
          <w:rFonts w:ascii="Calibri" w:cs="Calibri" w:eastAsia="Calibri" w:hAnsi="Calibri"/>
          <w:b/>
          <w:bCs/>
          <w:color w:val="0D1B3E"/>
          <w:sz w:val="21"/>
          <w:szCs w:val="21"/>
        </w:rPr>
        <w:t xml:space="preserve">3. </w:t>
      </w:r>
      <w:r>
        <w:rPr>
          <w:rFonts w:ascii="Calibri" w:cs="Calibri" w:eastAsia="Calibri" w:hAnsi="Calibri"/>
          <w:color w:val="333333"/>
          <w:sz w:val="21"/>
          <w:szCs w:val="21"/>
        </w:rPr>
        <w:t xml:space="preserve">Salud y bienestar: productos funcionales, probióticos, alta proteína y sin sellos.</w:t>
      </w:r>
    </w:p>
    <w:p>
      <w:pPr>
        <w:pStyle w:val="ListParagraph"/>
        <w:numPr>
          <w:ilvl w:val="0"/>
          <w:numId w:val="2"/>
        </w:numPr>
        <w:spacing w:after="60" w:before="40"/>
      </w:pPr>
      <w:r>
        <w:rPr>
          <w:rFonts w:ascii="Calibri" w:cs="Calibri" w:eastAsia="Calibri" w:hAnsi="Calibri"/>
          <w:b/>
          <w:bCs/>
          <w:color w:val="0D1B3E"/>
          <w:sz w:val="21"/>
          <w:szCs w:val="21"/>
        </w:rPr>
        <w:t xml:space="preserve">4. </w:t>
      </w:r>
      <w:r>
        <w:rPr>
          <w:rFonts w:ascii="Calibri" w:cs="Calibri" w:eastAsia="Calibri" w:hAnsi="Calibri"/>
          <w:color w:val="333333"/>
          <w:sz w:val="21"/>
          <w:szCs w:val="21"/>
        </w:rPr>
        <w:t xml:space="preserve">Innovación abierta: alianzas universidad-empresa y ecosistemas de co-creación.</w:t>
      </w:r>
    </w:p>
    <w:p>
      <w:pPr>
        <w:pStyle w:val="ListParagraph"/>
        <w:numPr>
          <w:ilvl w:val="0"/>
          <w:numId w:val="2"/>
        </w:numPr>
        <w:spacing w:after="60" w:before="40"/>
      </w:pPr>
      <w:r>
        <w:rPr>
          <w:rFonts w:ascii="Calibri" w:cs="Calibri" w:eastAsia="Calibri" w:hAnsi="Calibri"/>
          <w:b/>
          <w:bCs/>
          <w:color w:val="0D1B3E"/>
          <w:sz w:val="21"/>
          <w:szCs w:val="21"/>
        </w:rPr>
        <w:t xml:space="preserve">5. </w:t>
      </w:r>
      <w:r>
        <w:rPr>
          <w:rFonts w:ascii="Calibri" w:cs="Calibri" w:eastAsia="Calibri" w:hAnsi="Calibri"/>
          <w:color w:val="333333"/>
          <w:sz w:val="21"/>
          <w:szCs w:val="21"/>
        </w:rPr>
        <w:t xml:space="preserve">Agilidad comercial: ciclos cortos de lanzamiento y optimización continua.</w:t>
      </w:r>
    </w:p>
    <w:p>
      <w:pPr>
        <w:spacing w:after="60" w:before="60"/>
      </w:pPr>
    </w:p>
    <w:p>
      <w:pPr>
        <w:spacing w:after="80" w:before="240"/>
      </w:pPr>
      <w:r>
        <w:rPr>
          <w:rFonts w:ascii="Calibri" w:cs="Calibri" w:eastAsia="Calibri" w:hAnsi="Calibri"/>
          <w:b/>
          <w:bCs/>
          <w:color w:val="0D1B3E"/>
          <w:sz w:val="24"/>
          <w:szCs w:val="24"/>
        </w:rPr>
        <w:t xml:space="preserve">Posición competitiva de Freskaleche</w:t>
      </w:r>
    </w:p>
    <w:p>
      <w:pPr>
        <w:spacing w:after="100" w:before="60"/>
        <w:jc w:val="both"/>
      </w:pPr>
      <w:r>
        <w:rPr>
          <w:rFonts w:ascii="Calibri" w:cs="Calibri" w:eastAsia="Calibri" w:hAnsi="Calibri"/>
          <w:color w:val="333333"/>
          <w:sz w:val="21"/>
          <w:szCs w:val="21"/>
        </w:rPr>
        <w:t xml:space="preserve">Freskaleche posee activos estratégicos relevantes: 33 años de trayectoria, una base de lealtad emocional única en la región, respaldo del grupo Alquería y un portafolio diversificado. Sin embargo, presenta brechas críticas en tres frentes:</w:t>
      </w:r>
    </w:p>
    <w:p>
      <w:pPr>
        <w:pStyle w:val="ListParagraph"/>
        <w:numPr>
          <w:ilvl w:val="0"/>
          <w:numId w:val="2"/>
        </w:numPr>
        <w:spacing w:after="60" w:before="40"/>
      </w:pPr>
      <w:r>
        <w:rPr>
          <w:rFonts w:ascii="Calibri" w:cs="Calibri" w:eastAsia="Calibri" w:hAnsi="Calibri"/>
          <w:color w:val="333333"/>
          <w:sz w:val="21"/>
          <w:szCs w:val="21"/>
        </w:rPr>
        <w:t xml:space="preserve">Digital: sin canal de e-commerce propio ni capacidades de analítica de consumidor.</w:t>
      </w:r>
    </w:p>
    <w:p>
      <w:pPr>
        <w:pStyle w:val="ListParagraph"/>
        <w:numPr>
          <w:ilvl w:val="0"/>
          <w:numId w:val="2"/>
        </w:numPr>
        <w:spacing w:after="60" w:before="40"/>
      </w:pPr>
      <w:r>
        <w:rPr>
          <w:rFonts w:ascii="Calibri" w:cs="Calibri" w:eastAsia="Calibri" w:hAnsi="Calibri"/>
          <w:color w:val="333333"/>
          <w:sz w:val="21"/>
          <w:szCs w:val="21"/>
        </w:rPr>
        <w:t xml:space="preserve">Procesos: la dimensión de Procesos del Coeficiente de Innovación obtuvo el puntaje más bajo (48 %) de las cinco dimensiones evaluadas.</w:t>
      </w:r>
    </w:p>
    <w:p>
      <w:pPr>
        <w:pStyle w:val="ListParagraph"/>
        <w:numPr>
          <w:ilvl w:val="0"/>
          <w:numId w:val="2"/>
        </w:numPr>
        <w:spacing w:after="60" w:before="40"/>
      </w:pPr>
      <w:r>
        <w:rPr>
          <w:rFonts w:ascii="Calibri" w:cs="Calibri" w:eastAsia="Calibri" w:hAnsi="Calibri"/>
          <w:color w:val="333333"/>
          <w:sz w:val="21"/>
          <w:szCs w:val="21"/>
        </w:rPr>
        <w:t xml:space="preserve">Alineación interna: falta de sincronía estratégica entre los equipos de mercadeo (que planean) y comercial (que ejecutan).</w:t>
      </w:r>
    </w:p>
    <w:p>
      <w:pPr>
        <w:pBdr>
          <w:bottom w:val="single" w:color="C9963A" w:sz="4"/>
        </w:pBdr>
        <w:shd w:fill="0D1B3E" w:val="clear"/>
        <w:spacing w:after="120" w:before="320"/>
        <w:ind w:left="180" w:right="180"/>
        <w:jc w:val="left"/>
      </w:pPr>
      <w:r>
        <w:rPr>
          <w:rFonts w:ascii="Calibri" w:cs="Calibri" w:eastAsia="Calibri" w:hAnsi="Calibri"/>
          <w:b/>
          <w:bCs/>
          <w:color w:val="FFFFFF"/>
          <w:sz w:val="22"/>
          <w:szCs w:val="22"/>
        </w:rPr>
        <w:t xml:space="preserve">3. DIAGNÓSTICO ORGANIZACIONAL</w:t>
      </w:r>
    </w:p>
    <w:p>
      <w:pPr>
        <w:spacing w:after="100" w:before="60"/>
        <w:jc w:val="both"/>
      </w:pPr>
      <w:r>
        <w:rPr>
          <w:rFonts w:ascii="Calibri" w:cs="Calibri" w:eastAsia="Calibri" w:hAnsi="Calibri"/>
          <w:color w:val="333333"/>
          <w:sz w:val="21"/>
          <w:szCs w:val="21"/>
        </w:rPr>
        <w:t xml:space="preserve">El diagnóstico interno se realizó mediante la metodología Design Thinking (Brown, 2008), combinando el Coeficiente de Innovación (Navarro Alvarado et al., 2018) aplicado a 15 colaboradores clave, con mapas de empatía, mapas de experiencia del cliente y talleres participativos en los canales de Supermercados y B2B.</w:t>
      </w:r>
    </w:p>
    <w:p>
      <w:pPr>
        <w:spacing w:after="60" w:before="1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1900"/>
        <w:gridCol w:w="4538"/>
      </w:tblGrid>
      <w:tr>
        <w:tc>
          <w:tcPr>
            <w:tcW w:type="dxa" w:w="3200"/>
            <w:tcBorders>
              <w:top w:val="single" w:color="DDDDDD" w:sz="1"/>
              <w:left w:val="single" w:color="DDDDDD" w:sz="1"/>
              <w:bottom w:val="single" w:color="DDDDDD" w:sz="1"/>
              <w:right w:val="single" w:color="DDDDDD" w:sz="1"/>
            </w:tcBorders>
            <w:shd w:fill="0D1B3E" w:val="clear"/>
            <w:tcMar>
              <w:top w:type="dxa" w:w="100"/>
              <w:left w:type="dxa" w:w="140"/>
              <w:bottom w:type="dxa" w:w="100"/>
              <w:right w:type="dxa" w:w="100"/>
            </w:tcMar>
          </w:tcPr>
          <w:p>
            <w:pPr>
              <w:spacing w:after="0" w:before="0"/>
            </w:pPr>
            <w:r>
              <w:rPr>
                <w:rFonts w:ascii="Calibri" w:cs="Calibri" w:eastAsia="Calibri" w:hAnsi="Calibri"/>
                <w:b/>
                <w:bCs/>
                <w:color w:val="FFFFFF"/>
                <w:sz w:val="20"/>
                <w:szCs w:val="20"/>
              </w:rPr>
              <w:t xml:space="preserve">Dimensión evaluada</w:t>
            </w:r>
          </w:p>
        </w:tc>
        <w:tc>
          <w:tcPr>
            <w:tcW w:type="dxa" w:w="1900"/>
            <w:tcBorders>
              <w:top w:val="single" w:color="DDDDDD" w:sz="1"/>
              <w:left w:val="single" w:color="DDDDDD" w:sz="1"/>
              <w:bottom w:val="single" w:color="DDDDDD" w:sz="1"/>
              <w:right w:val="single" w:color="DDDDDD" w:sz="1"/>
            </w:tcBorders>
            <w:shd w:fill="0D1B3E" w:val="clear"/>
            <w:tcMar>
              <w:top w:type="dxa" w:w="100"/>
              <w:left w:type="dxa" w:w="100"/>
              <w:bottom w:type="dxa" w:w="100"/>
              <w:right w:type="dxa" w:w="100"/>
            </w:tcMar>
          </w:tcPr>
          <w:p>
            <w:pPr>
              <w:spacing w:after="0" w:before="0"/>
              <w:jc w:val="center"/>
            </w:pPr>
            <w:r>
              <w:rPr>
                <w:rFonts w:ascii="Calibri" w:cs="Calibri" w:eastAsia="Calibri" w:hAnsi="Calibri"/>
                <w:b/>
                <w:bCs/>
                <w:color w:val="FFFFFF"/>
                <w:sz w:val="20"/>
                <w:szCs w:val="20"/>
              </w:rPr>
              <w:t xml:space="preserve">Resultado</w:t>
            </w:r>
          </w:p>
        </w:tc>
        <w:tc>
          <w:tcPr>
            <w:tcW w:type="dxa" w:w="4538"/>
            <w:tcBorders>
              <w:top w:val="single" w:color="DDDDDD" w:sz="1"/>
              <w:left w:val="single" w:color="DDDDDD" w:sz="1"/>
              <w:bottom w:val="single" w:color="DDDDDD" w:sz="1"/>
              <w:right w:val="single" w:color="DDDDDD" w:sz="1"/>
            </w:tcBorders>
            <w:shd w:fill="0D1B3E" w:val="clear"/>
            <w:tcMar>
              <w:top w:type="dxa" w:w="100"/>
              <w:left w:type="dxa" w:w="140"/>
              <w:bottom w:type="dxa" w:w="100"/>
              <w:right w:type="dxa" w:w="100"/>
            </w:tcMar>
          </w:tcPr>
          <w:p>
            <w:pPr>
              <w:spacing w:after="0" w:before="0"/>
            </w:pPr>
            <w:r>
              <w:rPr>
                <w:rFonts w:ascii="Calibri" w:cs="Calibri" w:eastAsia="Calibri" w:hAnsi="Calibri"/>
                <w:b/>
                <w:bCs/>
                <w:color w:val="FFFFFF"/>
                <w:sz w:val="20"/>
                <w:szCs w:val="20"/>
              </w:rPr>
              <w:t xml:space="preserve">Implicación estratégica</w:t>
            </w:r>
          </w:p>
        </w:tc>
      </w:tr>
      <w:tr>
        <w:tc>
          <w:tcPr>
            <w:tcW w:type="dxa" w:w="3200"/>
            <w:tcBorders>
              <w:top w:val="single" w:color="DDDDDD" w:sz="1"/>
              <w:left w:val="single" w:color="DDDDDD" w:sz="1"/>
              <w:bottom w:val="single" w:color="DDDDDD" w:sz="1"/>
              <w:right w:val="single" w:color="DDDDDD" w:sz="1"/>
            </w:tcBorders>
            <w:shd w:fill="F2F8F5" w:val="clear"/>
            <w:tcMar>
              <w:top w:type="dxa" w:w="80"/>
              <w:left w:type="dxa" w:w="140"/>
              <w:bottom w:type="dxa" w:w="80"/>
              <w:right w:type="dxa" w:w="80"/>
            </w:tcMar>
          </w:tcPr>
          <w:p>
            <w:pPr>
              <w:spacing w:after="0" w:before="0"/>
            </w:pPr>
            <w:r>
              <w:rPr>
                <w:rFonts w:ascii="Calibri" w:cs="Calibri" w:eastAsia="Calibri" w:hAnsi="Calibri"/>
                <w:color w:val="333333"/>
                <w:sz w:val="19"/>
                <w:szCs w:val="19"/>
              </w:rPr>
              <w:t xml:space="preserve">Valores y Comportamientos</w:t>
            </w:r>
          </w:p>
        </w:tc>
        <w:tc>
          <w:tcPr>
            <w:tcW w:type="dxa" w:w="1900"/>
            <w:tcBorders>
              <w:top w:val="single" w:color="DDDDDD" w:sz="1"/>
              <w:left w:val="single" w:color="DDDDDD" w:sz="1"/>
              <w:bottom w:val="single" w:color="DDDDDD" w:sz="1"/>
              <w:right w:val="single" w:color="DDDDDD" w:sz="1"/>
            </w:tcBorders>
            <w:shd w:fill="F2F8F5" w:val="clear"/>
            <w:tcMar>
              <w:top w:type="dxa" w:w="80"/>
              <w:left w:type="dxa" w:w="100"/>
              <w:bottom w:type="dxa" w:w="80"/>
              <w:right w:type="dxa" w:w="100"/>
            </w:tcMar>
          </w:tcPr>
          <w:p>
            <w:pPr>
              <w:spacing w:after="0" w:before="0"/>
              <w:jc w:val="center"/>
            </w:pPr>
            <w:r>
              <w:rPr>
                <w:rFonts w:ascii="Calibri" w:cs="Calibri" w:eastAsia="Calibri" w:hAnsi="Calibri"/>
                <w:b/>
                <w:bCs/>
                <w:color w:val="1A8A72"/>
                <w:sz w:val="22"/>
                <w:szCs w:val="22"/>
              </w:rPr>
              <w:t xml:space="preserve">78 %</w:t>
            </w:r>
          </w:p>
        </w:tc>
        <w:tc>
          <w:tcPr>
            <w:tcW w:type="dxa" w:w="4538"/>
            <w:tcBorders>
              <w:top w:val="single" w:color="DDDDDD" w:sz="1"/>
              <w:left w:val="single" w:color="DDDDDD" w:sz="1"/>
              <w:bottom w:val="single" w:color="DDDDDD" w:sz="1"/>
              <w:right w:val="single" w:color="DDDDDD" w:sz="1"/>
            </w:tcBorders>
            <w:shd w:fill="F2F8F5" w:val="clear"/>
            <w:tcMar>
              <w:top w:type="dxa" w:w="80"/>
              <w:left w:type="dxa" w:w="140"/>
              <w:bottom w:type="dxa" w:w="80"/>
              <w:right w:type="dxa" w:w="100"/>
            </w:tcMar>
          </w:tcPr>
          <w:p>
            <w:pPr>
              <w:spacing w:after="0" w:before="0"/>
            </w:pPr>
            <w:r>
              <w:rPr>
                <w:rFonts w:ascii="Calibri" w:cs="Calibri" w:eastAsia="Calibri" w:hAnsi="Calibri"/>
                <w:color w:val="333333"/>
                <w:sz w:val="19"/>
                <w:szCs w:val="19"/>
              </w:rPr>
              <w:t xml:space="preserve">Cultura favorable a la innovación. Fortaleza a capitalizar.</w:t>
            </w:r>
          </w:p>
        </w:tc>
      </w:tr>
      <w:tr>
        <w:tc>
          <w:tcPr>
            <w:tcW w:type="dxa" w:w="3200"/>
            <w:tcBorders>
              <w:top w:val="single" w:color="DDDDDD" w:sz="1"/>
              <w:left w:val="single" w:color="DDDDDD" w:sz="1"/>
              <w:bottom w:val="single" w:color="DDDDDD" w:sz="1"/>
              <w:right w:val="single" w:color="DDDDDD" w:sz="1"/>
            </w:tcBorders>
            <w:shd w:fill="F2F8F5" w:val="clear"/>
            <w:tcMar>
              <w:top w:type="dxa" w:w="80"/>
              <w:left w:type="dxa" w:w="140"/>
              <w:bottom w:type="dxa" w:w="80"/>
              <w:right w:type="dxa" w:w="80"/>
            </w:tcMar>
          </w:tcPr>
          <w:p>
            <w:pPr>
              <w:spacing w:after="0" w:before="0"/>
            </w:pPr>
            <w:r>
              <w:rPr>
                <w:rFonts w:ascii="Calibri" w:cs="Calibri" w:eastAsia="Calibri" w:hAnsi="Calibri"/>
                <w:color w:val="333333"/>
                <w:sz w:val="19"/>
                <w:szCs w:val="19"/>
              </w:rPr>
              <w:t xml:space="preserve">Aprendizaje y Satisfacción</w:t>
            </w:r>
          </w:p>
        </w:tc>
        <w:tc>
          <w:tcPr>
            <w:tcW w:type="dxa" w:w="1900"/>
            <w:tcBorders>
              <w:top w:val="single" w:color="DDDDDD" w:sz="1"/>
              <w:left w:val="single" w:color="DDDDDD" w:sz="1"/>
              <w:bottom w:val="single" w:color="DDDDDD" w:sz="1"/>
              <w:right w:val="single" w:color="DDDDDD" w:sz="1"/>
            </w:tcBorders>
            <w:shd w:fill="F2F8F5" w:val="clear"/>
            <w:tcMar>
              <w:top w:type="dxa" w:w="80"/>
              <w:left w:type="dxa" w:w="100"/>
              <w:bottom w:type="dxa" w:w="80"/>
              <w:right w:type="dxa" w:w="100"/>
            </w:tcMar>
          </w:tcPr>
          <w:p>
            <w:pPr>
              <w:spacing w:after="0" w:before="0"/>
              <w:jc w:val="center"/>
            </w:pPr>
            <w:r>
              <w:rPr>
                <w:rFonts w:ascii="Calibri" w:cs="Calibri" w:eastAsia="Calibri" w:hAnsi="Calibri"/>
                <w:b/>
                <w:bCs/>
                <w:color w:val="1A8A72"/>
                <w:sz w:val="22"/>
                <w:szCs w:val="22"/>
              </w:rPr>
              <w:t xml:space="preserve">82 %</w:t>
            </w:r>
          </w:p>
        </w:tc>
        <w:tc>
          <w:tcPr>
            <w:tcW w:type="dxa" w:w="4538"/>
            <w:tcBorders>
              <w:top w:val="single" w:color="DDDDDD" w:sz="1"/>
              <w:left w:val="single" w:color="DDDDDD" w:sz="1"/>
              <w:bottom w:val="single" w:color="DDDDDD" w:sz="1"/>
              <w:right w:val="single" w:color="DDDDDD" w:sz="1"/>
            </w:tcBorders>
            <w:shd w:fill="F2F8F5" w:val="clear"/>
            <w:tcMar>
              <w:top w:type="dxa" w:w="80"/>
              <w:left w:type="dxa" w:w="140"/>
              <w:bottom w:type="dxa" w:w="80"/>
              <w:right w:type="dxa" w:w="100"/>
            </w:tcMar>
          </w:tcPr>
          <w:p>
            <w:pPr>
              <w:spacing w:after="0" w:before="0"/>
            </w:pPr>
            <w:r>
              <w:rPr>
                <w:rFonts w:ascii="Calibri" w:cs="Calibri" w:eastAsia="Calibri" w:hAnsi="Calibri"/>
                <w:color w:val="333333"/>
                <w:sz w:val="19"/>
                <w:szCs w:val="19"/>
              </w:rPr>
              <w:t xml:space="preserve">Alto compromiso del equipo. Base sólida para el cambio.</w:t>
            </w:r>
          </w:p>
        </w:tc>
      </w:tr>
      <w:tr>
        <w:tc>
          <w:tcPr>
            <w:tcW w:type="dxa" w:w="3200"/>
            <w:tcBorders>
              <w:top w:val="single" w:color="DDDDDD" w:sz="1"/>
              <w:left w:val="single" w:color="DDDDDD" w:sz="1"/>
              <w:bottom w:val="single" w:color="DDDDDD" w:sz="1"/>
              <w:right w:val="single" w:color="DDDDDD" w:sz="1"/>
            </w:tcBorders>
            <w:shd w:fill="FFFFFF" w:val="clear"/>
            <w:tcMar>
              <w:top w:type="dxa" w:w="80"/>
              <w:left w:type="dxa" w:w="140"/>
              <w:bottom w:type="dxa" w:w="80"/>
              <w:right w:type="dxa" w:w="80"/>
            </w:tcMar>
          </w:tcPr>
          <w:p>
            <w:pPr>
              <w:spacing w:after="0" w:before="0"/>
            </w:pPr>
            <w:r>
              <w:rPr>
                <w:rFonts w:ascii="Calibri" w:cs="Calibri" w:eastAsia="Calibri" w:hAnsi="Calibri"/>
                <w:color w:val="333333"/>
                <w:sz w:val="19"/>
                <w:szCs w:val="19"/>
              </w:rPr>
              <w:t xml:space="preserve">Resultados</w:t>
            </w:r>
          </w:p>
        </w:tc>
        <w:tc>
          <w:tcPr>
            <w:tcW w:type="dxa" w:w="1900"/>
            <w:tcBorders>
              <w:top w:val="single" w:color="DDDDDD" w:sz="1"/>
              <w:left w:val="single" w:color="DDDDDD" w:sz="1"/>
              <w:bottom w:val="single" w:color="DDDDDD" w:sz="1"/>
              <w:right w:val="single" w:color="DDDDDD" w:sz="1"/>
            </w:tcBorders>
            <w:shd w:fill="FFFFFF" w:val="clear"/>
            <w:tcMar>
              <w:top w:type="dxa" w:w="80"/>
              <w:left w:type="dxa" w:w="100"/>
              <w:bottom w:type="dxa" w:w="80"/>
              <w:right w:type="dxa" w:w="100"/>
            </w:tcMar>
          </w:tcPr>
          <w:p>
            <w:pPr>
              <w:spacing w:after="0" w:before="0"/>
              <w:jc w:val="center"/>
            </w:pPr>
            <w:r>
              <w:rPr>
                <w:rFonts w:ascii="Calibri" w:cs="Calibri" w:eastAsia="Calibri" w:hAnsi="Calibri"/>
                <w:b/>
                <w:bCs/>
                <w:color w:val="1A8A72"/>
                <w:sz w:val="22"/>
                <w:szCs w:val="22"/>
              </w:rPr>
              <w:t xml:space="preserve">71 %</w:t>
            </w:r>
          </w:p>
        </w:tc>
        <w:tc>
          <w:tcPr>
            <w:tcW w:type="dxa" w:w="4538"/>
            <w:tcBorders>
              <w:top w:val="single" w:color="DDDDDD" w:sz="1"/>
              <w:left w:val="single" w:color="DDDDDD" w:sz="1"/>
              <w:bottom w:val="single" w:color="DDDDDD" w:sz="1"/>
              <w:right w:val="single" w:color="DDDDDD" w:sz="1"/>
            </w:tcBorders>
            <w:shd w:fill="FFFFFF" w:val="clear"/>
            <w:tcMar>
              <w:top w:type="dxa" w:w="80"/>
              <w:left w:type="dxa" w:w="140"/>
              <w:bottom w:type="dxa" w:w="80"/>
              <w:right w:type="dxa" w:w="100"/>
            </w:tcMar>
          </w:tcPr>
          <w:p>
            <w:pPr>
              <w:spacing w:after="0" w:before="0"/>
            </w:pPr>
            <w:r>
              <w:rPr>
                <w:rFonts w:ascii="Calibri" w:cs="Calibri" w:eastAsia="Calibri" w:hAnsi="Calibri"/>
                <w:color w:val="333333"/>
                <w:sz w:val="19"/>
                <w:szCs w:val="19"/>
              </w:rPr>
              <w:t xml:space="preserve">La empresa genera valor con sus iniciativas actuales.</w:t>
            </w:r>
          </w:p>
        </w:tc>
      </w:tr>
      <w:tr>
        <w:tc>
          <w:tcPr>
            <w:tcW w:type="dxa" w:w="3200"/>
            <w:tcBorders>
              <w:top w:val="single" w:color="DDDDDD" w:sz="1"/>
              <w:left w:val="single" w:color="DDDDDD" w:sz="1"/>
              <w:bottom w:val="single" w:color="DDDDDD" w:sz="1"/>
              <w:right w:val="single" w:color="DDDDDD" w:sz="1"/>
            </w:tcBorders>
            <w:shd w:fill="FFFFFF" w:val="clear"/>
            <w:tcMar>
              <w:top w:type="dxa" w:w="80"/>
              <w:left w:type="dxa" w:w="140"/>
              <w:bottom w:type="dxa" w:w="80"/>
              <w:right w:type="dxa" w:w="80"/>
            </w:tcMar>
          </w:tcPr>
          <w:p>
            <w:pPr>
              <w:spacing w:after="0" w:before="0"/>
            </w:pPr>
            <w:r>
              <w:rPr>
                <w:rFonts w:ascii="Calibri" w:cs="Calibri" w:eastAsia="Calibri" w:hAnsi="Calibri"/>
                <w:color w:val="333333"/>
                <w:sz w:val="19"/>
                <w:szCs w:val="19"/>
              </w:rPr>
              <w:t xml:space="preserve">Recursos</w:t>
            </w:r>
          </w:p>
        </w:tc>
        <w:tc>
          <w:tcPr>
            <w:tcW w:type="dxa" w:w="1900"/>
            <w:tcBorders>
              <w:top w:val="single" w:color="DDDDDD" w:sz="1"/>
              <w:left w:val="single" w:color="DDDDDD" w:sz="1"/>
              <w:bottom w:val="single" w:color="DDDDDD" w:sz="1"/>
              <w:right w:val="single" w:color="DDDDDD" w:sz="1"/>
            </w:tcBorders>
            <w:shd w:fill="FFFFFF" w:val="clear"/>
            <w:tcMar>
              <w:top w:type="dxa" w:w="80"/>
              <w:left w:type="dxa" w:w="100"/>
              <w:bottom w:type="dxa" w:w="80"/>
              <w:right w:type="dxa" w:w="100"/>
            </w:tcMar>
          </w:tcPr>
          <w:p>
            <w:pPr>
              <w:spacing w:after="0" w:before="0"/>
              <w:jc w:val="center"/>
            </w:pPr>
            <w:r>
              <w:rPr>
                <w:rFonts w:ascii="Calibri" w:cs="Calibri" w:eastAsia="Calibri" w:hAnsi="Calibri"/>
                <w:b/>
                <w:bCs/>
                <w:color w:val="1A8A72"/>
                <w:sz w:val="22"/>
                <w:szCs w:val="22"/>
              </w:rPr>
              <w:t xml:space="preserve">62 %</w:t>
            </w:r>
          </w:p>
        </w:tc>
        <w:tc>
          <w:tcPr>
            <w:tcW w:type="dxa" w:w="4538"/>
            <w:tcBorders>
              <w:top w:val="single" w:color="DDDDDD" w:sz="1"/>
              <w:left w:val="single" w:color="DDDDDD" w:sz="1"/>
              <w:bottom w:val="single" w:color="DDDDDD" w:sz="1"/>
              <w:right w:val="single" w:color="DDDDDD" w:sz="1"/>
            </w:tcBorders>
            <w:shd w:fill="FFFFFF" w:val="clear"/>
            <w:tcMar>
              <w:top w:type="dxa" w:w="80"/>
              <w:left w:type="dxa" w:w="140"/>
              <w:bottom w:type="dxa" w:w="80"/>
              <w:right w:type="dxa" w:w="100"/>
            </w:tcMar>
          </w:tcPr>
          <w:p>
            <w:pPr>
              <w:spacing w:after="0" w:before="0"/>
            </w:pPr>
            <w:r>
              <w:rPr>
                <w:rFonts w:ascii="Calibri" w:cs="Calibri" w:eastAsia="Calibri" w:hAnsi="Calibri"/>
                <w:color w:val="333333"/>
                <w:sz w:val="19"/>
                <w:szCs w:val="19"/>
              </w:rPr>
              <w:t xml:space="preserve">Oportunidad de fortalecer asignación presupuestal.</w:t>
            </w:r>
          </w:p>
        </w:tc>
      </w:tr>
      <w:tr>
        <w:tc>
          <w:tcPr>
            <w:tcW w:type="dxa" w:w="3200"/>
            <w:tcBorders>
              <w:top w:val="single" w:color="DDDDDD" w:sz="1"/>
              <w:left w:val="single" w:color="DDDDDD" w:sz="1"/>
              <w:bottom w:val="single" w:color="DDDDDD" w:sz="1"/>
              <w:right w:val="single" w:color="DDDDDD" w:sz="1"/>
            </w:tcBorders>
            <w:shd w:fill="FFF3F3" w:val="clear"/>
            <w:tcMar>
              <w:top w:type="dxa" w:w="80"/>
              <w:left w:type="dxa" w:w="140"/>
              <w:bottom w:type="dxa" w:w="80"/>
              <w:right w:type="dxa" w:w="80"/>
            </w:tcMar>
          </w:tcPr>
          <w:p>
            <w:pPr>
              <w:spacing w:after="0" w:before="0"/>
            </w:pPr>
            <w:r>
              <w:rPr>
                <w:rFonts w:ascii="Calibri" w:cs="Calibri" w:eastAsia="Calibri" w:hAnsi="Calibri"/>
                <w:color w:val="333333"/>
                <w:sz w:val="19"/>
                <w:szCs w:val="19"/>
              </w:rPr>
              <w:t xml:space="preserve">Procesos</w:t>
            </w:r>
          </w:p>
        </w:tc>
        <w:tc>
          <w:tcPr>
            <w:tcW w:type="dxa" w:w="1900"/>
            <w:tcBorders>
              <w:top w:val="single" w:color="DDDDDD" w:sz="1"/>
              <w:left w:val="single" w:color="DDDDDD" w:sz="1"/>
              <w:bottom w:val="single" w:color="DDDDDD" w:sz="1"/>
              <w:right w:val="single" w:color="DDDDDD" w:sz="1"/>
            </w:tcBorders>
            <w:shd w:fill="FFF3F3" w:val="clear"/>
            <w:tcMar>
              <w:top w:type="dxa" w:w="80"/>
              <w:left w:type="dxa" w:w="100"/>
              <w:bottom w:type="dxa" w:w="80"/>
              <w:right w:type="dxa" w:w="100"/>
            </w:tcMar>
          </w:tcPr>
          <w:p>
            <w:pPr>
              <w:spacing w:after="0" w:before="0"/>
              <w:jc w:val="center"/>
            </w:pPr>
            <w:r>
              <w:rPr>
                <w:rFonts w:ascii="Calibri" w:cs="Calibri" w:eastAsia="Calibri" w:hAnsi="Calibri"/>
                <w:b/>
                <w:bCs/>
                <w:color w:val="CC3333"/>
                <w:sz w:val="22"/>
                <w:szCs w:val="22"/>
              </w:rPr>
              <w:t xml:space="preserve">48 %</w:t>
            </w:r>
          </w:p>
        </w:tc>
        <w:tc>
          <w:tcPr>
            <w:tcW w:type="dxa" w:w="4538"/>
            <w:tcBorders>
              <w:top w:val="single" w:color="DDDDDD" w:sz="1"/>
              <w:left w:val="single" w:color="DDDDDD" w:sz="1"/>
              <w:bottom w:val="single" w:color="DDDDDD" w:sz="1"/>
              <w:right w:val="single" w:color="DDDDDD" w:sz="1"/>
            </w:tcBorders>
            <w:shd w:fill="FFF3F3" w:val="clear"/>
            <w:tcMar>
              <w:top w:type="dxa" w:w="80"/>
              <w:left w:type="dxa" w:w="140"/>
              <w:bottom w:type="dxa" w:w="80"/>
              <w:right w:type="dxa" w:w="100"/>
            </w:tcMar>
          </w:tcPr>
          <w:p>
            <w:pPr>
              <w:spacing w:after="0" w:before="0"/>
            </w:pPr>
            <w:r>
              <w:rPr>
                <w:rFonts w:ascii="Calibri" w:cs="Calibri" w:eastAsia="Calibri" w:hAnsi="Calibri"/>
                <w:color w:val="333333"/>
                <w:sz w:val="19"/>
                <w:szCs w:val="19"/>
              </w:rPr>
              <w:t xml:space="preserve">⚠ Brecha crítica. Ausencia de estructuras formales de innovación.</w:t>
            </w:r>
          </w:p>
        </w:tc>
      </w:tr>
    </w:tbl>
    <w:p>
      <w:pPr>
        <w:spacing w:after="120" w:before="80"/>
      </w:pPr>
      <w:r>
        <w:rPr>
          <w:rFonts w:ascii="Calibri" w:cs="Calibri" w:eastAsia="Calibri" w:hAnsi="Calibri"/>
          <w:i/>
          <w:iCs/>
          <w:color w:val="888888"/>
          <w:sz w:val="17"/>
          <w:szCs w:val="17"/>
        </w:rPr>
        <w:t xml:space="preserve">Nota. Coeficiente de Innovación (Navarro Alvarado et al., 2018) aplicado a 15 colaboradores de las áreas de mercadeo y comercial. Elaboración propia.</w:t>
      </w:r>
    </w:p>
    <w:p>
      <w:pPr>
        <w:pBdr>
          <w:bottom w:val="single" w:color="C9963A" w:sz="4"/>
        </w:pBdr>
        <w:shd w:fill="0D1B3E" w:val="clear"/>
        <w:spacing w:after="120" w:before="320"/>
        <w:ind w:left="180" w:right="180"/>
        <w:jc w:val="left"/>
      </w:pPr>
      <w:r>
        <w:rPr>
          <w:rFonts w:ascii="Calibri" w:cs="Calibri" w:eastAsia="Calibri" w:hAnsi="Calibri"/>
          <w:b/>
          <w:bCs/>
          <w:color w:val="FFFFFF"/>
          <w:sz w:val="22"/>
          <w:szCs w:val="22"/>
        </w:rPr>
        <w:t xml:space="preserve">4. VARIABLES ESTRATÉGICAS CLAVE — ANÁLISIS MICMAC</w:t>
      </w:r>
    </w:p>
    <w:p>
      <w:pPr>
        <w:spacing w:after="100" w:before="60"/>
        <w:jc w:val="both"/>
      </w:pPr>
      <w:r>
        <w:rPr>
          <w:rFonts w:ascii="Calibri" w:cs="Calibri" w:eastAsia="Calibri" w:hAnsi="Calibri"/>
          <w:color w:val="333333"/>
          <w:sz w:val="21"/>
          <w:szCs w:val="21"/>
        </w:rPr>
        <w:t xml:space="preserve">Mediante el método de análisis estructural MICMAC (Godet, 1993), se identificaron y priorizaron 20 variables estratégicas del sistema de mercadeo y comercial de Freskaleche, evaluadas con un panel de 7 expertos internos. El software clasificó seis variables como “motrices” o clave: las de mayor influencia y dependencia dentro del sistema.</w:t>
      </w:r>
    </w:p>
    <w:p>
      <w:pPr>
        <w:spacing w:after="100" w:before="60"/>
        <w:jc w:val="both"/>
      </w:pPr>
      <w:r>
        <w:rPr>
          <w:rFonts w:ascii="Calibri" w:cs="Calibri" w:eastAsia="Calibri" w:hAnsi="Calibri"/>
          <w:color w:val="333333"/>
          <w:sz w:val="21"/>
          <w:szCs w:val="21"/>
        </w:rPr>
        <w:t xml:space="preserve">Estas seis variables son las palancas del sistema: intervenciones sobre ellas generan efectos amplificados sobre el posicionamiento de marca, el desempeño en canales modernos y la efectividad del marketing verde.</w:t>
      </w:r>
    </w:p>
    <w:p>
      <w:pPr>
        <w:spacing w:after="60"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4560"/>
        <w:gridCol w:w="3000"/>
      </w:tblGrid>
      <w:tr>
        <w:tc>
          <w:tcPr>
            <w:tcW w:type="dxa" w:w="1800"/>
            <w:tcBorders>
              <w:top w:val="single" w:color="DDDDDD" w:sz="1"/>
              <w:left w:val="single" w:color="DDDDDD" w:sz="1"/>
              <w:bottom w:val="single" w:color="DDDDDD" w:sz="1"/>
              <w:right w:val="single" w:color="DDDDDD" w:sz="1"/>
            </w:tcBorders>
            <w:shd w:fill="0D1B3E" w:val="clear"/>
            <w:tcMar>
              <w:top w:type="dxa" w:w="100"/>
              <w:left w:type="dxa" w:w="120"/>
              <w:bottom w:type="dxa" w:w="100"/>
              <w:right w:type="dxa" w:w="80"/>
            </w:tcMar>
          </w:tcPr>
          <w:p>
            <w:pPr>
              <w:spacing w:after="0" w:before="0"/>
            </w:pPr>
            <w:r>
              <w:rPr>
                <w:rFonts w:ascii="Calibri" w:cs="Calibri" w:eastAsia="Calibri" w:hAnsi="Calibri"/>
                <w:b/>
                <w:bCs/>
                <w:color w:val="FFFFFF"/>
                <w:sz w:val="20"/>
                <w:szCs w:val="20"/>
              </w:rPr>
              <w:t xml:space="preserve">Código</w:t>
            </w:r>
          </w:p>
        </w:tc>
        <w:tc>
          <w:tcPr>
            <w:tcW w:type="dxa" w:w="4560"/>
            <w:tcBorders>
              <w:top w:val="single" w:color="DDDDDD" w:sz="1"/>
              <w:left w:val="single" w:color="DDDDDD" w:sz="1"/>
              <w:bottom w:val="single" w:color="DDDDDD" w:sz="1"/>
              <w:right w:val="single" w:color="DDDDDD" w:sz="1"/>
            </w:tcBorders>
            <w:shd w:fill="0D1B3E" w:val="clear"/>
            <w:tcMar>
              <w:top w:type="dxa" w:w="100"/>
              <w:left w:type="dxa" w:w="120"/>
              <w:bottom w:type="dxa" w:w="100"/>
              <w:right w:type="dxa" w:w="80"/>
            </w:tcMar>
          </w:tcPr>
          <w:p>
            <w:pPr>
              <w:spacing w:after="0" w:before="0"/>
            </w:pPr>
            <w:r>
              <w:rPr>
                <w:rFonts w:ascii="Calibri" w:cs="Calibri" w:eastAsia="Calibri" w:hAnsi="Calibri"/>
                <w:b/>
                <w:bCs/>
                <w:color w:val="FFFFFF"/>
                <w:sz w:val="20"/>
                <w:szCs w:val="20"/>
              </w:rPr>
              <w:t xml:space="preserve">Variable estratégica</w:t>
            </w:r>
          </w:p>
        </w:tc>
        <w:tc>
          <w:tcPr>
            <w:tcW w:type="dxa" w:w="3000"/>
            <w:tcBorders>
              <w:top w:val="single" w:color="DDDDDD" w:sz="1"/>
              <w:left w:val="single" w:color="DDDDDD" w:sz="1"/>
              <w:bottom w:val="single" w:color="DDDDDD" w:sz="1"/>
              <w:right w:val="single" w:color="DDDDDD" w:sz="1"/>
            </w:tcBorders>
            <w:shd w:fill="0D1B3E" w:val="clear"/>
            <w:tcMar>
              <w:top w:type="dxa" w:w="100"/>
              <w:left w:type="dxa" w:w="120"/>
              <w:bottom w:type="dxa" w:w="100"/>
              <w:right w:type="dxa" w:w="80"/>
            </w:tcMar>
          </w:tcPr>
          <w:p>
            <w:pPr>
              <w:spacing w:after="0" w:before="0"/>
            </w:pPr>
            <w:r>
              <w:rPr>
                <w:rFonts w:ascii="Calibri" w:cs="Calibri" w:eastAsia="Calibri" w:hAnsi="Calibri"/>
                <w:b/>
                <w:bCs/>
                <w:color w:val="FFFFFF"/>
                <w:sz w:val="20"/>
                <w:szCs w:val="20"/>
              </w:rPr>
              <w:t xml:space="preserve">Proyecto asociado</w:t>
            </w:r>
          </w:p>
        </w:tc>
      </w:tr>
      <w:tr>
        <w:tc>
          <w:tcPr>
            <w:tcW w:type="dxa" w:w="180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80"/>
            </w:tcMar>
          </w:tcPr>
          <w:p>
            <w:pPr>
              <w:spacing w:after="0" w:before="0"/>
            </w:pPr>
            <w:r>
              <w:rPr>
                <w:rFonts w:ascii="Courier New" w:cs="Courier New" w:eastAsia="Courier New" w:hAnsi="Courier New"/>
                <w:b/>
                <w:bCs/>
                <w:color w:val="0D1B3E"/>
                <w:sz w:val="18"/>
                <w:szCs w:val="18"/>
              </w:rPr>
              <w:t xml:space="preserve">CAP_DIGITAL</w:t>
            </w:r>
          </w:p>
        </w:tc>
        <w:tc>
          <w:tcPr>
            <w:tcW w:type="dxa" w:w="456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80"/>
            </w:tcMar>
          </w:tcPr>
          <w:p>
            <w:pPr>
              <w:spacing w:after="0" w:before="0"/>
            </w:pPr>
            <w:r>
              <w:rPr>
                <w:rFonts w:ascii="Calibri" w:cs="Calibri" w:eastAsia="Calibri" w:hAnsi="Calibri"/>
                <w:color w:val="333333"/>
                <w:sz w:val="19"/>
                <w:szCs w:val="19"/>
              </w:rPr>
              <w:t xml:space="preserve">Capacidades Digitales y de Analítica</w:t>
            </w:r>
          </w:p>
        </w:tc>
        <w:tc>
          <w:tcPr>
            <w:tcW w:type="dxa" w:w="300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80"/>
            </w:tcMar>
          </w:tcPr>
          <w:p>
            <w:pPr>
              <w:spacing w:after="0" w:before="0"/>
            </w:pPr>
            <w:r>
              <w:rPr>
                <w:rFonts w:ascii="Calibri" w:cs="Calibri" w:eastAsia="Calibri" w:hAnsi="Calibri"/>
                <w:i/>
                <w:iCs/>
                <w:color w:val="333333"/>
                <w:sz w:val="19"/>
                <w:szCs w:val="19"/>
              </w:rPr>
              <w:t xml:space="preserve">Freskaleche Digital</w:t>
            </w:r>
          </w:p>
        </w:tc>
      </w:tr>
      <w:tr>
        <w:tc>
          <w:tcPr>
            <w:tcW w:type="dxa" w:w="1800"/>
            <w:tcBorders>
              <w:top w:val="single" w:color="DDDDDD" w:sz="1"/>
              <w:left w:val="single" w:color="DDDDDD" w:sz="1"/>
              <w:bottom w:val="single" w:color="DDDDDD" w:sz="1"/>
              <w:right w:val="single" w:color="DDDDDD" w:sz="1"/>
            </w:tcBorders>
            <w:shd w:fill="EEF4FF" w:val="clear"/>
            <w:tcMar>
              <w:top w:type="dxa" w:w="80"/>
              <w:left w:type="dxa" w:w="120"/>
              <w:bottom w:type="dxa" w:w="80"/>
              <w:right w:type="dxa" w:w="80"/>
            </w:tcMar>
          </w:tcPr>
          <w:p>
            <w:pPr>
              <w:spacing w:after="0" w:before="0"/>
            </w:pPr>
            <w:r>
              <w:rPr>
                <w:rFonts w:ascii="Courier New" w:cs="Courier New" w:eastAsia="Courier New" w:hAnsi="Courier New"/>
                <w:b/>
                <w:bCs/>
                <w:color w:val="0D1B3E"/>
                <w:sz w:val="18"/>
                <w:szCs w:val="18"/>
              </w:rPr>
              <w:t xml:space="preserve">DEM_SOSTEN</w:t>
            </w:r>
          </w:p>
        </w:tc>
        <w:tc>
          <w:tcPr>
            <w:tcW w:type="dxa" w:w="4560"/>
            <w:tcBorders>
              <w:top w:val="single" w:color="DDDDDD" w:sz="1"/>
              <w:left w:val="single" w:color="DDDDDD" w:sz="1"/>
              <w:bottom w:val="single" w:color="DDDDDD" w:sz="1"/>
              <w:right w:val="single" w:color="DDDDDD" w:sz="1"/>
            </w:tcBorders>
            <w:shd w:fill="EEF4FF" w:val="clear"/>
            <w:tcMar>
              <w:top w:type="dxa" w:w="80"/>
              <w:left w:type="dxa" w:w="120"/>
              <w:bottom w:type="dxa" w:w="80"/>
              <w:right w:type="dxa" w:w="80"/>
            </w:tcMar>
          </w:tcPr>
          <w:p>
            <w:pPr>
              <w:spacing w:after="0" w:before="0"/>
            </w:pPr>
            <w:r>
              <w:rPr>
                <w:rFonts w:ascii="Calibri" w:cs="Calibri" w:eastAsia="Calibri" w:hAnsi="Calibri"/>
                <w:color w:val="333333"/>
                <w:sz w:val="19"/>
                <w:szCs w:val="19"/>
              </w:rPr>
              <w:t xml:space="preserve">Exigencia de Sostenibilidad y Credibilidad Verde</w:t>
            </w:r>
          </w:p>
        </w:tc>
        <w:tc>
          <w:tcPr>
            <w:tcW w:type="dxa" w:w="3000"/>
            <w:tcBorders>
              <w:top w:val="single" w:color="DDDDDD" w:sz="1"/>
              <w:left w:val="single" w:color="DDDDDD" w:sz="1"/>
              <w:bottom w:val="single" w:color="DDDDDD" w:sz="1"/>
              <w:right w:val="single" w:color="DDDDDD" w:sz="1"/>
            </w:tcBorders>
            <w:shd w:fill="EEF4FF" w:val="clear"/>
            <w:tcMar>
              <w:top w:type="dxa" w:w="80"/>
              <w:left w:type="dxa" w:w="120"/>
              <w:bottom w:type="dxa" w:w="80"/>
              <w:right w:type="dxa" w:w="80"/>
            </w:tcMar>
          </w:tcPr>
          <w:p>
            <w:pPr>
              <w:spacing w:after="0" w:before="0"/>
            </w:pPr>
            <w:r>
              <w:rPr>
                <w:rFonts w:ascii="Calibri" w:cs="Calibri" w:eastAsia="Calibri" w:hAnsi="Calibri"/>
                <w:i/>
                <w:iCs/>
                <w:color w:val="333333"/>
                <w:sz w:val="19"/>
                <w:szCs w:val="19"/>
              </w:rPr>
              <w:t xml:space="preserve">Eco-Hub</w:t>
            </w:r>
          </w:p>
        </w:tc>
      </w:tr>
      <w:tr>
        <w:tc>
          <w:tcPr>
            <w:tcW w:type="dxa" w:w="180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80"/>
            </w:tcMar>
          </w:tcPr>
          <w:p>
            <w:pPr>
              <w:spacing w:after="0" w:before="0"/>
            </w:pPr>
            <w:r>
              <w:rPr>
                <w:rFonts w:ascii="Courier New" w:cs="Courier New" w:eastAsia="Courier New" w:hAnsi="Courier New"/>
                <w:b/>
                <w:bCs/>
                <w:color w:val="0D1B3E"/>
                <w:sz w:val="18"/>
                <w:szCs w:val="18"/>
              </w:rPr>
              <w:t xml:space="preserve">COMP_DIGITAL</w:t>
            </w:r>
          </w:p>
        </w:tc>
        <w:tc>
          <w:tcPr>
            <w:tcW w:type="dxa" w:w="456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80"/>
            </w:tcMar>
          </w:tcPr>
          <w:p>
            <w:pPr>
              <w:spacing w:after="0" w:before="0"/>
            </w:pPr>
            <w:r>
              <w:rPr>
                <w:rFonts w:ascii="Calibri" w:cs="Calibri" w:eastAsia="Calibri" w:hAnsi="Calibri"/>
                <w:color w:val="333333"/>
                <w:sz w:val="19"/>
                <w:szCs w:val="19"/>
              </w:rPr>
              <w:t xml:space="preserve">Competitividad en Canales Digitales</w:t>
            </w:r>
          </w:p>
        </w:tc>
        <w:tc>
          <w:tcPr>
            <w:tcW w:type="dxa" w:w="300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80"/>
            </w:tcMar>
          </w:tcPr>
          <w:p>
            <w:pPr>
              <w:spacing w:after="0" w:before="0"/>
            </w:pPr>
            <w:r>
              <w:rPr>
                <w:rFonts w:ascii="Calibri" w:cs="Calibri" w:eastAsia="Calibri" w:hAnsi="Calibri"/>
                <w:i/>
                <w:iCs/>
                <w:color w:val="333333"/>
                <w:sz w:val="19"/>
                <w:szCs w:val="19"/>
              </w:rPr>
              <w:t xml:space="preserve">Freskaleche Digital</w:t>
            </w:r>
          </w:p>
        </w:tc>
      </w:tr>
      <w:tr>
        <w:tc>
          <w:tcPr>
            <w:tcW w:type="dxa" w:w="1800"/>
            <w:tcBorders>
              <w:top w:val="single" w:color="DDDDDD" w:sz="1"/>
              <w:left w:val="single" w:color="DDDDDD" w:sz="1"/>
              <w:bottom w:val="single" w:color="DDDDDD" w:sz="1"/>
              <w:right w:val="single" w:color="DDDDDD" w:sz="1"/>
            </w:tcBorders>
            <w:shd w:fill="EEF4FF" w:val="clear"/>
            <w:tcMar>
              <w:top w:type="dxa" w:w="80"/>
              <w:left w:type="dxa" w:w="120"/>
              <w:bottom w:type="dxa" w:w="80"/>
              <w:right w:type="dxa" w:w="80"/>
            </w:tcMar>
          </w:tcPr>
          <w:p>
            <w:pPr>
              <w:spacing w:after="0" w:before="0"/>
            </w:pPr>
            <w:r>
              <w:rPr>
                <w:rFonts w:ascii="Courier New" w:cs="Courier New" w:eastAsia="Courier New" w:hAnsi="Courier New"/>
                <w:b/>
                <w:bCs/>
                <w:color w:val="0D1B3E"/>
                <w:sz w:val="18"/>
                <w:szCs w:val="18"/>
              </w:rPr>
              <w:t xml:space="preserve">COLAB_ECOS</w:t>
            </w:r>
          </w:p>
        </w:tc>
        <w:tc>
          <w:tcPr>
            <w:tcW w:type="dxa" w:w="4560"/>
            <w:tcBorders>
              <w:top w:val="single" w:color="DDDDDD" w:sz="1"/>
              <w:left w:val="single" w:color="DDDDDD" w:sz="1"/>
              <w:bottom w:val="single" w:color="DDDDDD" w:sz="1"/>
              <w:right w:val="single" w:color="DDDDDD" w:sz="1"/>
            </w:tcBorders>
            <w:shd w:fill="EEF4FF" w:val="clear"/>
            <w:tcMar>
              <w:top w:type="dxa" w:w="80"/>
              <w:left w:type="dxa" w:w="120"/>
              <w:bottom w:type="dxa" w:w="80"/>
              <w:right w:type="dxa" w:w="80"/>
            </w:tcMar>
          </w:tcPr>
          <w:p>
            <w:pPr>
              <w:spacing w:after="0" w:before="0"/>
            </w:pPr>
            <w:r>
              <w:rPr>
                <w:rFonts w:ascii="Calibri" w:cs="Calibri" w:eastAsia="Calibri" w:hAnsi="Calibri"/>
                <w:color w:val="333333"/>
                <w:sz w:val="19"/>
                <w:szCs w:val="19"/>
              </w:rPr>
              <w:t xml:space="preserve">Integración en Ecosistemas de Innovación</w:t>
            </w:r>
          </w:p>
        </w:tc>
        <w:tc>
          <w:tcPr>
            <w:tcW w:type="dxa" w:w="3000"/>
            <w:tcBorders>
              <w:top w:val="single" w:color="DDDDDD" w:sz="1"/>
              <w:left w:val="single" w:color="DDDDDD" w:sz="1"/>
              <w:bottom w:val="single" w:color="DDDDDD" w:sz="1"/>
              <w:right w:val="single" w:color="DDDDDD" w:sz="1"/>
            </w:tcBorders>
            <w:shd w:fill="EEF4FF" w:val="clear"/>
            <w:tcMar>
              <w:top w:type="dxa" w:w="80"/>
              <w:left w:type="dxa" w:w="120"/>
              <w:bottom w:type="dxa" w:w="80"/>
              <w:right w:type="dxa" w:w="80"/>
            </w:tcMar>
          </w:tcPr>
          <w:p>
            <w:pPr>
              <w:spacing w:after="0" w:before="0"/>
            </w:pPr>
            <w:r>
              <w:rPr>
                <w:rFonts w:ascii="Calibri" w:cs="Calibri" w:eastAsia="Calibri" w:hAnsi="Calibri"/>
                <w:i/>
                <w:iCs/>
                <w:color w:val="333333"/>
                <w:sz w:val="19"/>
                <w:szCs w:val="19"/>
              </w:rPr>
              <w:t xml:space="preserve">Eco-Hub</w:t>
            </w:r>
          </w:p>
        </w:tc>
      </w:tr>
      <w:tr>
        <w:tc>
          <w:tcPr>
            <w:tcW w:type="dxa" w:w="180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80"/>
            </w:tcMar>
          </w:tcPr>
          <w:p>
            <w:pPr>
              <w:spacing w:after="0" w:before="0"/>
            </w:pPr>
            <w:r>
              <w:rPr>
                <w:rFonts w:ascii="Courier New" w:cs="Courier New" w:eastAsia="Courier New" w:hAnsi="Courier New"/>
                <w:b/>
                <w:bCs/>
                <w:color w:val="0D1B3E"/>
                <w:sz w:val="18"/>
                <w:szCs w:val="18"/>
              </w:rPr>
              <w:t xml:space="preserve">PRES_EC_CIRC</w:t>
            </w:r>
          </w:p>
        </w:tc>
        <w:tc>
          <w:tcPr>
            <w:tcW w:type="dxa" w:w="456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80"/>
            </w:tcMar>
          </w:tcPr>
          <w:p>
            <w:pPr>
              <w:spacing w:after="0" w:before="0"/>
            </w:pPr>
            <w:r>
              <w:rPr>
                <w:rFonts w:ascii="Calibri" w:cs="Calibri" w:eastAsia="Calibri" w:hAnsi="Calibri"/>
                <w:color w:val="333333"/>
                <w:sz w:val="19"/>
                <w:szCs w:val="19"/>
              </w:rPr>
              <w:t xml:space="preserve">Presión por Economía Circular en la Cadena</w:t>
            </w:r>
          </w:p>
        </w:tc>
        <w:tc>
          <w:tcPr>
            <w:tcW w:type="dxa" w:w="300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80"/>
            </w:tcMar>
          </w:tcPr>
          <w:p>
            <w:pPr>
              <w:spacing w:after="0" w:before="0"/>
            </w:pPr>
            <w:r>
              <w:rPr>
                <w:rFonts w:ascii="Calibri" w:cs="Calibri" w:eastAsia="Calibri" w:hAnsi="Calibri"/>
                <w:i/>
                <w:iCs/>
                <w:color w:val="333333"/>
                <w:sz w:val="19"/>
                <w:szCs w:val="19"/>
              </w:rPr>
              <w:t xml:space="preserve">Eco-Hub</w:t>
            </w:r>
          </w:p>
        </w:tc>
      </w:tr>
      <w:tr>
        <w:tc>
          <w:tcPr>
            <w:tcW w:type="dxa" w:w="1800"/>
            <w:tcBorders>
              <w:top w:val="single" w:color="DDDDDD" w:sz="1"/>
              <w:left w:val="single" w:color="DDDDDD" w:sz="1"/>
              <w:bottom w:val="single" w:color="DDDDDD" w:sz="1"/>
              <w:right w:val="single" w:color="DDDDDD" w:sz="1"/>
            </w:tcBorders>
            <w:shd w:fill="EEF4FF" w:val="clear"/>
            <w:tcMar>
              <w:top w:type="dxa" w:w="80"/>
              <w:left w:type="dxa" w:w="120"/>
              <w:bottom w:type="dxa" w:w="80"/>
              <w:right w:type="dxa" w:w="80"/>
            </w:tcMar>
          </w:tcPr>
          <w:p>
            <w:pPr>
              <w:spacing w:after="0" w:before="0"/>
            </w:pPr>
            <w:r>
              <w:rPr>
                <w:rFonts w:ascii="Courier New" w:cs="Courier New" w:eastAsia="Courier New" w:hAnsi="Courier New"/>
                <w:b/>
                <w:bCs/>
                <w:color w:val="0D1B3E"/>
                <w:sz w:val="18"/>
                <w:szCs w:val="18"/>
              </w:rPr>
              <w:t xml:space="preserve">ALINEA_INT</w:t>
            </w:r>
          </w:p>
        </w:tc>
        <w:tc>
          <w:tcPr>
            <w:tcW w:type="dxa" w:w="4560"/>
            <w:tcBorders>
              <w:top w:val="single" w:color="DDDDDD" w:sz="1"/>
              <w:left w:val="single" w:color="DDDDDD" w:sz="1"/>
              <w:bottom w:val="single" w:color="DDDDDD" w:sz="1"/>
              <w:right w:val="single" w:color="DDDDDD" w:sz="1"/>
            </w:tcBorders>
            <w:shd w:fill="EEF4FF" w:val="clear"/>
            <w:tcMar>
              <w:top w:type="dxa" w:w="80"/>
              <w:left w:type="dxa" w:w="120"/>
              <w:bottom w:type="dxa" w:w="80"/>
              <w:right w:type="dxa" w:w="80"/>
            </w:tcMar>
          </w:tcPr>
          <w:p>
            <w:pPr>
              <w:spacing w:after="0" w:before="0"/>
            </w:pPr>
            <w:r>
              <w:rPr>
                <w:rFonts w:ascii="Calibri" w:cs="Calibri" w:eastAsia="Calibri" w:hAnsi="Calibri"/>
                <w:color w:val="333333"/>
                <w:sz w:val="19"/>
                <w:szCs w:val="19"/>
              </w:rPr>
              <w:t xml:space="preserve">Nivel de Alineación Interna Mercadeo–Comercial</w:t>
            </w:r>
          </w:p>
        </w:tc>
        <w:tc>
          <w:tcPr>
            <w:tcW w:type="dxa" w:w="3000"/>
            <w:tcBorders>
              <w:top w:val="single" w:color="DDDDDD" w:sz="1"/>
              <w:left w:val="single" w:color="DDDDDD" w:sz="1"/>
              <w:bottom w:val="single" w:color="DDDDDD" w:sz="1"/>
              <w:right w:val="single" w:color="DDDDDD" w:sz="1"/>
            </w:tcBorders>
            <w:shd w:fill="EEF4FF" w:val="clear"/>
            <w:tcMar>
              <w:top w:type="dxa" w:w="80"/>
              <w:left w:type="dxa" w:w="120"/>
              <w:bottom w:type="dxa" w:w="80"/>
              <w:right w:type="dxa" w:w="80"/>
            </w:tcMar>
          </w:tcPr>
          <w:p>
            <w:pPr>
              <w:spacing w:after="0" w:before="0"/>
            </w:pPr>
            <w:r>
              <w:rPr>
                <w:rFonts w:ascii="Calibri" w:cs="Calibri" w:eastAsia="Calibri" w:hAnsi="Calibri"/>
                <w:i/>
                <w:iCs/>
                <w:color w:val="333333"/>
                <w:sz w:val="19"/>
                <w:szCs w:val="19"/>
              </w:rPr>
              <w:t xml:space="preserve">Sprint Comercial</w:t>
            </w:r>
          </w:p>
        </w:tc>
      </w:tr>
    </w:tbl>
    <w:p>
      <w:pPr>
        <w:spacing w:after="120" w:before="80"/>
      </w:pPr>
      <w:r>
        <w:rPr>
          <w:rFonts w:ascii="Calibri" w:cs="Calibri" w:eastAsia="Calibri" w:hAnsi="Calibri"/>
          <w:i/>
          <w:iCs/>
          <w:color w:val="888888"/>
          <w:sz w:val="17"/>
          <w:szCs w:val="17"/>
        </w:rPr>
        <w:t xml:space="preserve">Nota. Variables clasificadas como clave/motrices por el software MICMAC (Godet, 1993) a partir de la Matriz de Influencias Directas construida con panel de 7 expertos internos.</w:t>
      </w:r>
    </w:p>
    <w:p>
      <w:pPr>
        <w:pBdr>
          <w:bottom w:val="single" w:color="C9963A" w:sz="4"/>
        </w:pBdr>
        <w:shd w:fill="0D1B3E" w:val="clear"/>
        <w:spacing w:after="120" w:before="320"/>
        <w:ind w:left="180" w:right="180"/>
        <w:jc w:val="left"/>
      </w:pPr>
      <w:r>
        <w:rPr>
          <w:rFonts w:ascii="Calibri" w:cs="Calibri" w:eastAsia="Calibri" w:hAnsi="Calibri"/>
          <w:b/>
          <w:bCs/>
          <w:color w:val="FFFFFF"/>
          <w:sz w:val="22"/>
          <w:szCs w:val="22"/>
        </w:rPr>
        <w:t xml:space="preserve">5. PORTAFOLIO DE PROYECTOS DE INNOVACIÓN</w:t>
      </w:r>
    </w:p>
    <w:p>
      <w:pPr>
        <w:spacing w:after="100" w:before="60"/>
        <w:jc w:val="both"/>
      </w:pPr>
      <w:r>
        <w:rPr>
          <w:rFonts w:ascii="Calibri" w:cs="Calibri" w:eastAsia="Calibri" w:hAnsi="Calibri"/>
          <w:color w:val="333333"/>
          <w:sz w:val="21"/>
          <w:szCs w:val="21"/>
        </w:rPr>
        <w:t xml:space="preserve">A partir de las seis variables motrices, se formularon seis Objetivos Estratégicos SMART (Ikusi, 2022) y se generó un banco de ideas evaluadas mediante matriz multicriterio (BID, 2021). Como resultado se priorizaron tres proyectos de innovación para las áreas de mercadeo y comercial:</w:t>
      </w:r>
    </w:p>
    <w:p>
      <w:pPr>
        <w:spacing w:after="60"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40"/>
        <w:gridCol w:w="8820"/>
      </w:tblGrid>
      <w:tr>
        <w:tc>
          <w:tcPr>
            <w:tcW w:type="dxa" w:w="540"/>
            <w:tcBorders>
              <w:top w:val="none" w:color="FFFFFF" w:sz="0"/>
              <w:left w:val="none" w:color="FFFFFF" w:sz="0"/>
              <w:bottom w:val="none" w:color="FFFFFF" w:sz="0"/>
              <w:right w:val="none" w:color="FFFFFF" w:sz="0"/>
            </w:tcBorders>
            <w:shd w:fill="C9963A" w:val="clear"/>
            <w:tcMar>
              <w:top w:type="dxa" w:w="120"/>
              <w:left w:type="dxa" w:w="100"/>
              <w:bottom w:type="dxa" w:w="120"/>
              <w:right w:type="dxa" w:w="100"/>
            </w:tcMar>
            <w:vAlign w:val="center"/>
          </w:tcPr>
          <w:p>
            <w:pPr>
              <w:jc w:val="center"/>
            </w:pPr>
            <w:r>
              <w:rPr>
                <w:rFonts w:ascii="Segoe UI Emoji" w:cs="Segoe UI Emoji" w:eastAsia="Segoe UI Emoji" w:hAnsi="Segoe UI Emoji"/>
                <w:sz w:val="36"/>
                <w:szCs w:val="36"/>
              </w:rPr>
              <w:t xml:space="preserve">⚡</w:t>
            </w:r>
          </w:p>
        </w:tc>
        <w:tc>
          <w:tcPr>
            <w:tcW w:type="dxa" w:w="8820"/>
            <w:tcBorders>
              <w:top w:val="single" w:color="DDDDDD" w:sz="1"/>
              <w:left w:val="none" w:color="FFFFFF" w:sz="0"/>
              <w:bottom w:val="single" w:color="DDDDDD" w:sz="1"/>
              <w:right w:val="single" w:color="DDDDDD" w:sz="1"/>
            </w:tcBorders>
            <w:shd w:fill="FAFAFA" w:val="clear"/>
            <w:tcMar>
              <w:top w:type="dxa" w:w="120"/>
              <w:left w:type="dxa" w:w="180"/>
              <w:bottom w:type="dxa" w:w="120"/>
              <w:right w:type="dxa" w:w="180"/>
            </w:tcMar>
          </w:tcPr>
          <w:p>
            <w:pPr>
              <w:spacing w:after="60" w:before="0"/>
            </w:pPr>
            <w:r>
              <w:rPr>
                <w:rFonts w:ascii="Calibri" w:cs="Calibri" w:eastAsia="Calibri" w:hAnsi="Calibri"/>
                <w:b/>
                <w:bCs/>
                <w:color w:val="C9963A"/>
                <w:sz w:val="24"/>
                <w:szCs w:val="24"/>
              </w:rPr>
              <w:t xml:space="preserve">Sprint Comercial</w:t>
            </w:r>
          </w:p>
          <w:p>
            <w:pPr>
              <w:spacing w:after="80" w:before="0"/>
              <w:jc w:val="both"/>
            </w:pPr>
            <w:r>
              <w:rPr>
                <w:rFonts w:ascii="Calibri" w:cs="Calibri" w:eastAsia="Calibri" w:hAnsi="Calibri"/>
                <w:color w:val="333333"/>
                <w:sz w:val="20"/>
                <w:szCs w:val="20"/>
              </w:rPr>
              <w:t xml:space="preserve">Implementar un modelo de trabajo ágil y un sistema de KPI’s compartidos entre los equipos de mercadeo y comercial, estandarizando los ciclos de diseño y lanzamiento de campañas. Atacar directamente la brecha de alineación interna (ALINEA_INT) identificada como variable clave por el MICMAC.</w:t>
            </w:r>
          </w:p>
          <w:p>
            <w:pPr>
              <w:spacing w:after="0" w:before="0"/>
            </w:pPr>
            <w:r>
              <w:rPr>
                <w:rFonts w:ascii="Calibri" w:cs="Calibri" w:eastAsia="Calibri" w:hAnsi="Calibri"/>
                <w:b/>
                <w:bCs/>
                <w:color w:val="888888"/>
                <w:sz w:val="19"/>
                <w:szCs w:val="19"/>
              </w:rPr>
              <w:t xml:space="preserve">⏱ Horizonte: </w:t>
            </w:r>
            <w:r>
              <w:rPr>
                <w:rFonts w:ascii="Calibri" w:cs="Calibri" w:eastAsia="Calibri" w:hAnsi="Calibri"/>
                <w:color w:val="888888"/>
                <w:sz w:val="19"/>
                <w:szCs w:val="19"/>
              </w:rPr>
              <w:t xml:space="preserve">Q1–Q2 2026   </w:t>
            </w:r>
            <w:r>
              <w:rPr>
                <w:rFonts w:ascii="Calibri" w:cs="Calibri" w:eastAsia="Calibri" w:hAnsi="Calibri"/>
                <w:b/>
                <w:bCs/>
                <w:color w:val="888888"/>
                <w:sz w:val="19"/>
                <w:szCs w:val="19"/>
              </w:rPr>
              <w:t xml:space="preserve">● KPI: </w:t>
            </w:r>
            <w:r>
              <w:rPr>
                <w:rFonts w:ascii="Calibri" w:cs="Calibri" w:eastAsia="Calibri" w:hAnsi="Calibri"/>
                <w:color w:val="888888"/>
                <w:sz w:val="19"/>
                <w:szCs w:val="19"/>
              </w:rPr>
              <w:t xml:space="preserve">Tiempo de lanzamiento de campañas · NPS interno de equipos</w:t>
            </w:r>
          </w:p>
        </w:tc>
      </w:tr>
    </w:tbl>
    <w:p>
      <w:pPr>
        <w:spacing w:after="10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40"/>
        <w:gridCol w:w="8820"/>
      </w:tblGrid>
      <w:tr>
        <w:tc>
          <w:tcPr>
            <w:tcW w:type="dxa" w:w="540"/>
            <w:tcBorders>
              <w:top w:val="none" w:color="FFFFFF" w:sz="0"/>
              <w:left w:val="none" w:color="FFFFFF" w:sz="0"/>
              <w:bottom w:val="none" w:color="FFFFFF" w:sz="0"/>
              <w:right w:val="none" w:color="FFFFFF" w:sz="0"/>
            </w:tcBorders>
            <w:shd w:fill="1A5F7A" w:val="clear"/>
            <w:tcMar>
              <w:top w:type="dxa" w:w="120"/>
              <w:left w:type="dxa" w:w="100"/>
              <w:bottom w:type="dxa" w:w="120"/>
              <w:right w:type="dxa" w:w="100"/>
            </w:tcMar>
            <w:vAlign w:val="center"/>
          </w:tcPr>
          <w:p>
            <w:pPr>
              <w:jc w:val="center"/>
            </w:pPr>
            <w:r>
              <w:rPr>
                <w:rFonts w:ascii="Segoe UI Emoji" w:cs="Segoe UI Emoji" w:eastAsia="Segoe UI Emoji" w:hAnsi="Segoe UI Emoji"/>
                <w:sz w:val="36"/>
                <w:szCs w:val="36"/>
              </w:rPr>
              <w:t xml:space="preserve">💻</w:t>
            </w:r>
          </w:p>
        </w:tc>
        <w:tc>
          <w:tcPr>
            <w:tcW w:type="dxa" w:w="8820"/>
            <w:tcBorders>
              <w:top w:val="single" w:color="DDDDDD" w:sz="1"/>
              <w:left w:val="none" w:color="FFFFFF" w:sz="0"/>
              <w:bottom w:val="single" w:color="DDDDDD" w:sz="1"/>
              <w:right w:val="single" w:color="DDDDDD" w:sz="1"/>
            </w:tcBorders>
            <w:shd w:fill="FAFAFA" w:val="clear"/>
            <w:tcMar>
              <w:top w:type="dxa" w:w="120"/>
              <w:left w:type="dxa" w:w="180"/>
              <w:bottom w:type="dxa" w:w="120"/>
              <w:right w:type="dxa" w:w="180"/>
            </w:tcMar>
          </w:tcPr>
          <w:p>
            <w:pPr>
              <w:spacing w:after="60" w:before="0"/>
            </w:pPr>
            <w:r>
              <w:rPr>
                <w:rFonts w:ascii="Calibri" w:cs="Calibri" w:eastAsia="Calibri" w:hAnsi="Calibri"/>
                <w:b/>
                <w:bCs/>
                <w:color w:val="1A5F7A"/>
                <w:sz w:val="24"/>
                <w:szCs w:val="24"/>
              </w:rPr>
              <w:t xml:space="preserve">Freskaleche Digital</w:t>
            </w:r>
          </w:p>
          <w:p>
            <w:pPr>
              <w:spacing w:after="80" w:before="0"/>
              <w:jc w:val="both"/>
            </w:pPr>
            <w:r>
              <w:rPr>
                <w:rFonts w:ascii="Calibri" w:cs="Calibri" w:eastAsia="Calibri" w:hAnsi="Calibri"/>
                <w:color w:val="333333"/>
                <w:sz w:val="20"/>
                <w:szCs w:val="20"/>
              </w:rPr>
              <w:t xml:space="preserve">Lanzar un canal de venta directa mediante tienda virtual propia y presencia en marketplaces estratégicos (MercadoLibre, Rappi). Meta: capturar el 5 % de las ventas directas al consumidor en la región de influencia para diciembre de 2027. Este canal se convierte en la primera fuente primaria de datos del consumidor de Freskaleche.</w:t>
            </w:r>
          </w:p>
          <w:p>
            <w:pPr>
              <w:spacing w:after="0" w:before="0"/>
            </w:pPr>
            <w:r>
              <w:rPr>
                <w:rFonts w:ascii="Calibri" w:cs="Calibri" w:eastAsia="Calibri" w:hAnsi="Calibri"/>
                <w:b/>
                <w:bCs/>
                <w:color w:val="888888"/>
                <w:sz w:val="19"/>
                <w:szCs w:val="19"/>
              </w:rPr>
              <w:t xml:space="preserve">⏱ Horizonte: </w:t>
            </w:r>
            <w:r>
              <w:rPr>
                <w:rFonts w:ascii="Calibri" w:cs="Calibri" w:eastAsia="Calibri" w:hAnsi="Calibri"/>
                <w:color w:val="888888"/>
                <w:sz w:val="19"/>
                <w:szCs w:val="19"/>
              </w:rPr>
              <w:t xml:space="preserve">Q3 2026 – Q2 2027   </w:t>
            </w:r>
            <w:r>
              <w:rPr>
                <w:rFonts w:ascii="Calibri" w:cs="Calibri" w:eastAsia="Calibri" w:hAnsi="Calibri"/>
                <w:b/>
                <w:bCs/>
                <w:color w:val="888888"/>
                <w:sz w:val="19"/>
                <w:szCs w:val="19"/>
              </w:rPr>
              <w:t xml:space="preserve">● KPI: </w:t>
            </w:r>
            <w:r>
              <w:rPr>
                <w:rFonts w:ascii="Calibri" w:cs="Calibri" w:eastAsia="Calibri" w:hAnsi="Calibri"/>
                <w:color w:val="888888"/>
                <w:sz w:val="19"/>
                <w:szCs w:val="19"/>
              </w:rPr>
              <w:t xml:space="preserve">% ventas canal digital (meta: 5 %) · Tasa de conversión / NPS digital</w:t>
            </w:r>
          </w:p>
        </w:tc>
      </w:tr>
    </w:tbl>
    <w:p>
      <w:pPr>
        <w:spacing w:after="10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40"/>
        <w:gridCol w:w="8820"/>
      </w:tblGrid>
      <w:tr>
        <w:tc>
          <w:tcPr>
            <w:tcW w:type="dxa" w:w="540"/>
            <w:tcBorders>
              <w:top w:val="none" w:color="FFFFFF" w:sz="0"/>
              <w:left w:val="none" w:color="FFFFFF" w:sz="0"/>
              <w:bottom w:val="none" w:color="FFFFFF" w:sz="0"/>
              <w:right w:val="none" w:color="FFFFFF" w:sz="0"/>
            </w:tcBorders>
            <w:shd w:fill="1A8A72" w:val="clear"/>
            <w:tcMar>
              <w:top w:type="dxa" w:w="120"/>
              <w:left w:type="dxa" w:w="100"/>
              <w:bottom w:type="dxa" w:w="120"/>
              <w:right w:type="dxa" w:w="100"/>
            </w:tcMar>
            <w:vAlign w:val="center"/>
          </w:tcPr>
          <w:p>
            <w:pPr>
              <w:jc w:val="center"/>
            </w:pPr>
            <w:r>
              <w:rPr>
                <w:rFonts w:ascii="Segoe UI Emoji" w:cs="Segoe UI Emoji" w:eastAsia="Segoe UI Emoji" w:hAnsi="Segoe UI Emoji"/>
                <w:sz w:val="36"/>
                <w:szCs w:val="36"/>
              </w:rPr>
              <w:t xml:space="preserve">🌿</w:t>
            </w:r>
          </w:p>
        </w:tc>
        <w:tc>
          <w:tcPr>
            <w:tcW w:type="dxa" w:w="8820"/>
            <w:tcBorders>
              <w:top w:val="single" w:color="DDDDDD" w:sz="1"/>
              <w:left w:val="none" w:color="FFFFFF" w:sz="0"/>
              <w:bottom w:val="single" w:color="DDDDDD" w:sz="1"/>
              <w:right w:val="single" w:color="DDDDDD" w:sz="1"/>
            </w:tcBorders>
            <w:shd w:fill="FAFAFA" w:val="clear"/>
            <w:tcMar>
              <w:top w:type="dxa" w:w="120"/>
              <w:left w:type="dxa" w:w="180"/>
              <w:bottom w:type="dxa" w:w="120"/>
              <w:right w:type="dxa" w:w="180"/>
            </w:tcMar>
          </w:tcPr>
          <w:p>
            <w:pPr>
              <w:spacing w:after="60" w:before="0"/>
            </w:pPr>
            <w:r>
              <w:rPr>
                <w:rFonts w:ascii="Calibri" w:cs="Calibri" w:eastAsia="Calibri" w:hAnsi="Calibri"/>
                <w:b/>
                <w:bCs/>
                <w:color w:val="1A8A72"/>
                <w:sz w:val="24"/>
                <w:szCs w:val="24"/>
              </w:rPr>
              <w:t xml:space="preserve">Eco-Hub</w:t>
            </w:r>
          </w:p>
          <w:p>
            <w:pPr>
              <w:spacing w:after="80" w:before="0"/>
              <w:jc w:val="both"/>
            </w:pPr>
            <w:r>
              <w:rPr>
                <w:rFonts w:ascii="Calibri" w:cs="Calibri" w:eastAsia="Calibri" w:hAnsi="Calibri"/>
                <w:color w:val="333333"/>
                <w:sz w:val="20"/>
                <w:szCs w:val="20"/>
              </w:rPr>
              <w:t xml:space="preserve">Desarrollar un programa integral de economía circular para la línea de empaques UHT de mayor volumen, logrando que el 100 % de sus componentes sean reciclables o reutilizables y comunicando este atributo mediante sistema de trazabilidad QR verificable. Involucra alianzas con la UIS, proveedores de materiales sostenibles y distribuidores regionales.</w:t>
            </w:r>
          </w:p>
          <w:p>
            <w:pPr>
              <w:spacing w:after="0" w:before="0"/>
            </w:pPr>
            <w:r>
              <w:rPr>
                <w:rFonts w:ascii="Calibri" w:cs="Calibri" w:eastAsia="Calibri" w:hAnsi="Calibri"/>
                <w:b/>
                <w:bCs/>
                <w:color w:val="888888"/>
                <w:sz w:val="19"/>
                <w:szCs w:val="19"/>
              </w:rPr>
              <w:t xml:space="preserve">⏱ Horizonte: </w:t>
            </w:r>
            <w:r>
              <w:rPr>
                <w:rFonts w:ascii="Calibri" w:cs="Calibri" w:eastAsia="Calibri" w:hAnsi="Calibri"/>
                <w:color w:val="888888"/>
                <w:sz w:val="19"/>
                <w:szCs w:val="19"/>
              </w:rPr>
              <w:t xml:space="preserve">Q1 2026 – Q1 2027   </w:t>
            </w:r>
            <w:r>
              <w:rPr>
                <w:rFonts w:ascii="Calibri" w:cs="Calibri" w:eastAsia="Calibri" w:hAnsi="Calibri"/>
                <w:b/>
                <w:bCs/>
                <w:color w:val="888888"/>
                <w:sz w:val="19"/>
                <w:szCs w:val="19"/>
              </w:rPr>
              <w:t xml:space="preserve">● KPI: </w:t>
            </w:r>
            <w:r>
              <w:rPr>
                <w:rFonts w:ascii="Calibri" w:cs="Calibri" w:eastAsia="Calibri" w:hAnsi="Calibri"/>
                <w:color w:val="888888"/>
                <w:sz w:val="19"/>
                <w:szCs w:val="19"/>
              </w:rPr>
              <w:t xml:space="preserve">% materiales reciclables (meta: 100 %) · Escaneos QR / Huella de carbono</w:t>
            </w:r>
          </w:p>
        </w:tc>
      </w:tr>
    </w:tbl>
    <w:p>
      <w:pPr>
        <w:spacing w:after="100" w:before="0"/>
      </w:pPr>
    </w:p>
    <w:p>
      <w:pPr>
        <w:pBdr>
          <w:bottom w:val="single" w:color="C9963A" w:sz="4"/>
        </w:pBdr>
        <w:shd w:fill="0D1B3E" w:val="clear"/>
        <w:spacing w:after="120" w:before="320"/>
        <w:ind w:left="180" w:right="180"/>
        <w:jc w:val="left"/>
      </w:pPr>
      <w:r>
        <w:rPr>
          <w:rFonts w:ascii="Calibri" w:cs="Calibri" w:eastAsia="Calibri" w:hAnsi="Calibri"/>
          <w:b/>
          <w:bCs/>
          <w:color w:val="FFFFFF"/>
          <w:sz w:val="22"/>
          <w:szCs w:val="22"/>
        </w:rPr>
        <w:t xml:space="preserve">6. HOJA DE RUTA 2026–2027</w:t>
      </w:r>
    </w:p>
    <w:p>
      <w:pPr>
        <w:spacing w:after="6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100"/>
        <w:gridCol w:w="1880"/>
        <w:gridCol w:w="1880"/>
        <w:gridCol w:w="1880"/>
        <w:gridCol w:w="1898"/>
      </w:tblGrid>
      <w:tr>
        <w:tc>
          <w:tcPr>
            <w:tcW w:type="dxa" w:w="2100"/>
            <w:tcBorders>
              <w:top w:val="single" w:color="DDDDDD" w:sz="1"/>
              <w:left w:val="single" w:color="DDDDDD" w:sz="1"/>
              <w:bottom w:val="single" w:color="DDDDDD" w:sz="1"/>
              <w:right w:val="single" w:color="DDDDDD" w:sz="1"/>
            </w:tcBorders>
            <w:shd w:fill="0D1B3E" w:val="clear"/>
            <w:tcMar>
              <w:top w:type="dxa" w:w="100"/>
              <w:left w:type="dxa" w:w="120"/>
              <w:bottom w:type="dxa" w:w="100"/>
              <w:right w:type="dxa" w:w="80"/>
            </w:tcMar>
          </w:tcPr>
          <w:p>
            <w:pPr>
              <w:spacing w:after="0" w:before="0"/>
            </w:pPr>
            <w:r>
              <w:rPr>
                <w:rFonts w:ascii="Calibri" w:cs="Calibri" w:eastAsia="Calibri" w:hAnsi="Calibri"/>
                <w:b/>
                <w:bCs/>
                <w:color w:val="FFFFFF"/>
                <w:sz w:val="20"/>
                <w:szCs w:val="20"/>
              </w:rPr>
              <w:t xml:space="preserve">Proyecto</w:t>
            </w:r>
          </w:p>
        </w:tc>
        <w:tc>
          <w:tcPr>
            <w:tcW w:type="dxa" w:w="1880"/>
            <w:tcBorders>
              <w:top w:val="single" w:color="DDDDDD" w:sz="1"/>
              <w:left w:val="single" w:color="DDDDDD" w:sz="1"/>
              <w:bottom w:val="single" w:color="DDDDDD" w:sz="1"/>
              <w:right w:val="single" w:color="DDDDDD" w:sz="1"/>
            </w:tcBorders>
            <w:shd w:fill="0D1B3E" w:val="clear"/>
            <w:tcMar>
              <w:top w:type="dxa" w:w="100"/>
              <w:left w:type="dxa" w:w="80"/>
              <w:bottom w:type="dxa" w:w="100"/>
              <w:right w:type="dxa" w:w="80"/>
            </w:tcMar>
          </w:tcPr>
          <w:p>
            <w:pPr>
              <w:spacing w:after="0" w:before="0"/>
              <w:jc w:val="center"/>
            </w:pPr>
            <w:r>
              <w:rPr>
                <w:rFonts w:ascii="Calibri" w:cs="Calibri" w:eastAsia="Calibri" w:hAnsi="Calibri"/>
                <w:b/>
                <w:bCs/>
                <w:color w:val="FFFFFF"/>
                <w:sz w:val="20"/>
                <w:szCs w:val="20"/>
              </w:rPr>
              <w:t xml:space="preserve">Q1–2 / 2026</w:t>
            </w:r>
          </w:p>
        </w:tc>
        <w:tc>
          <w:tcPr>
            <w:tcW w:type="dxa" w:w="1880"/>
            <w:tcBorders>
              <w:top w:val="single" w:color="DDDDDD" w:sz="1"/>
              <w:left w:val="single" w:color="DDDDDD" w:sz="1"/>
              <w:bottom w:val="single" w:color="DDDDDD" w:sz="1"/>
              <w:right w:val="single" w:color="DDDDDD" w:sz="1"/>
            </w:tcBorders>
            <w:shd w:fill="0D1B3E" w:val="clear"/>
            <w:tcMar>
              <w:top w:type="dxa" w:w="100"/>
              <w:left w:type="dxa" w:w="80"/>
              <w:bottom w:type="dxa" w:w="100"/>
              <w:right w:type="dxa" w:w="80"/>
            </w:tcMar>
          </w:tcPr>
          <w:p>
            <w:pPr>
              <w:spacing w:after="0" w:before="0"/>
              <w:jc w:val="center"/>
            </w:pPr>
            <w:r>
              <w:rPr>
                <w:rFonts w:ascii="Calibri" w:cs="Calibri" w:eastAsia="Calibri" w:hAnsi="Calibri"/>
                <w:b/>
                <w:bCs/>
                <w:color w:val="FFFFFF"/>
                <w:sz w:val="20"/>
                <w:szCs w:val="20"/>
              </w:rPr>
              <w:t xml:space="preserve">Q3–4 / 2026</w:t>
            </w:r>
          </w:p>
        </w:tc>
        <w:tc>
          <w:tcPr>
            <w:tcW w:type="dxa" w:w="1880"/>
            <w:tcBorders>
              <w:top w:val="single" w:color="DDDDDD" w:sz="1"/>
              <w:left w:val="single" w:color="DDDDDD" w:sz="1"/>
              <w:bottom w:val="single" w:color="DDDDDD" w:sz="1"/>
              <w:right w:val="single" w:color="DDDDDD" w:sz="1"/>
            </w:tcBorders>
            <w:shd w:fill="0D1B3E" w:val="clear"/>
            <w:tcMar>
              <w:top w:type="dxa" w:w="100"/>
              <w:left w:type="dxa" w:w="80"/>
              <w:bottom w:type="dxa" w:w="100"/>
              <w:right w:type="dxa" w:w="80"/>
            </w:tcMar>
          </w:tcPr>
          <w:p>
            <w:pPr>
              <w:spacing w:after="0" w:before="0"/>
              <w:jc w:val="center"/>
            </w:pPr>
            <w:r>
              <w:rPr>
                <w:rFonts w:ascii="Calibri" w:cs="Calibri" w:eastAsia="Calibri" w:hAnsi="Calibri"/>
                <w:b/>
                <w:bCs/>
                <w:color w:val="FFFFFF"/>
                <w:sz w:val="20"/>
                <w:szCs w:val="20"/>
              </w:rPr>
              <w:t xml:space="preserve">Q1–2 / 2027</w:t>
            </w:r>
          </w:p>
        </w:tc>
        <w:tc>
          <w:tcPr>
            <w:tcW w:type="dxa" w:w="1880"/>
            <w:tcBorders>
              <w:top w:val="single" w:color="DDDDDD" w:sz="1"/>
              <w:left w:val="single" w:color="DDDDDD" w:sz="1"/>
              <w:bottom w:val="single" w:color="DDDDDD" w:sz="1"/>
              <w:right w:val="single" w:color="DDDDDD" w:sz="1"/>
            </w:tcBorders>
            <w:shd w:fill="0D1B3E" w:val="clear"/>
            <w:tcMar>
              <w:top w:type="dxa" w:w="100"/>
              <w:left w:type="dxa" w:w="80"/>
              <w:bottom w:type="dxa" w:w="100"/>
              <w:right w:type="dxa" w:w="80"/>
            </w:tcMar>
          </w:tcPr>
          <w:p>
            <w:pPr>
              <w:spacing w:after="0" w:before="0"/>
              <w:jc w:val="center"/>
            </w:pPr>
            <w:r>
              <w:rPr>
                <w:rFonts w:ascii="Calibri" w:cs="Calibri" w:eastAsia="Calibri" w:hAnsi="Calibri"/>
                <w:b/>
                <w:bCs/>
                <w:color w:val="FFFFFF"/>
                <w:sz w:val="20"/>
                <w:szCs w:val="20"/>
              </w:rPr>
              <w:t xml:space="preserve">Q3–4 / 2027</w:t>
            </w:r>
          </w:p>
        </w:tc>
      </w:tr>
      <w:tr>
        <w:tc>
          <w:tcPr>
            <w:tcW w:type="dxa" w:w="2100"/>
            <w:tcBorders>
              <w:top w:val="single" w:color="DDDDDD" w:sz="1"/>
              <w:left w:val="single" w:color="DDDDDD" w:sz="1"/>
              <w:bottom w:val="single" w:color="DDDDDD" w:sz="1"/>
              <w:right w:val="single" w:color="DDDDDD" w:sz="1"/>
            </w:tcBorders>
            <w:shd w:fill="C9963A" w:val="clear"/>
            <w:tcMar>
              <w:top w:type="dxa" w:w="80"/>
              <w:left w:type="dxa" w:w="120"/>
              <w:bottom w:type="dxa" w:w="80"/>
              <w:right w:type="dxa" w:w="80"/>
            </w:tcMar>
          </w:tcPr>
          <w:p>
            <w:pPr>
              <w:spacing w:after="0" w:before="0"/>
            </w:pPr>
            <w:r>
              <w:rPr>
                <w:rFonts w:ascii="Calibri" w:cs="Calibri" w:eastAsia="Calibri" w:hAnsi="Calibri"/>
                <w:b/>
                <w:bCs/>
                <w:color w:val="C9963A"/>
                <w:sz w:val="19"/>
                <w:szCs w:val="19"/>
              </w:rPr>
              <w:t xml:space="preserve">Sprint Comercial</w:t>
            </w:r>
          </w:p>
        </w:tc>
        <w:tc>
          <w:tcPr>
            <w:tcW w:type="dxa" w:w="1880"/>
            <w:tcBorders>
              <w:top w:val="single" w:color="DDDDDD" w:sz="1"/>
              <w:left w:val="single" w:color="DDDDDD" w:sz="1"/>
              <w:bottom w:val="single" w:color="DDDDDD" w:sz="1"/>
              <w:right w:val="single" w:color="DDDDDD" w:sz="1"/>
            </w:tcBorders>
            <w:shd w:fill="C9963A" w:val="clear"/>
            <w:tcMar>
              <w:top w:type="dxa" w:w="80"/>
              <w:left w:type="dxa" w:w="80"/>
              <w:bottom w:type="dxa" w:w="80"/>
              <w:right w:type="dxa" w:w="80"/>
            </w:tcMar>
          </w:tcPr>
          <w:p>
            <w:pPr>
              <w:spacing w:after="0" w:before="0"/>
              <w:jc w:val="center"/>
            </w:pPr>
            <w:r>
              <w:rPr>
                <w:rFonts w:ascii="Calibri" w:cs="Calibri" w:eastAsia="Calibri" w:hAnsi="Calibri"/>
                <w:color w:val="333333"/>
                <w:sz w:val="17"/>
                <w:szCs w:val="17"/>
              </w:rPr>
              <w:t xml:space="preserve">■ Diagnóstico y diseño ágil</w:t>
            </w:r>
          </w:p>
        </w:tc>
        <w:tc>
          <w:tcPr>
            <w:tcW w:type="dxa" w:w="1880"/>
            <w:tcBorders>
              <w:top w:val="single" w:color="DDDDDD" w:sz="1"/>
              <w:left w:val="single" w:color="DDDDDD" w:sz="1"/>
              <w:bottom w:val="single" w:color="DDDDDD" w:sz="1"/>
              <w:right w:val="single" w:color="DDDDDD" w:sz="1"/>
            </w:tcBorders>
            <w:shd w:fill="C9963A" w:val="clear"/>
            <w:tcMar>
              <w:top w:type="dxa" w:w="80"/>
              <w:left w:type="dxa" w:w="80"/>
              <w:bottom w:type="dxa" w:w="80"/>
              <w:right w:type="dxa" w:w="80"/>
            </w:tcMar>
          </w:tcPr>
          <w:p>
            <w:pPr>
              <w:spacing w:after="0" w:before="0"/>
              <w:jc w:val="center"/>
            </w:pPr>
            <w:r>
              <w:rPr>
                <w:rFonts w:ascii="Calibri" w:cs="Calibri" w:eastAsia="Calibri" w:hAnsi="Calibri"/>
                <w:color w:val="333333"/>
                <w:sz w:val="17"/>
                <w:szCs w:val="17"/>
              </w:rPr>
              <w:t xml:space="preserve">■ Piloto + institucionalización</w:t>
            </w:r>
          </w:p>
        </w:tc>
        <w:tc>
          <w:tcPr>
            <w:tcW w:type="dxa" w:w="1880"/>
            <w:tcBorders>
              <w:top w:val="single" w:color="DDDDDD" w:sz="1"/>
              <w:left w:val="single" w:color="DDDDDD" w:sz="1"/>
              <w:bottom w:val="single" w:color="DDDDDD" w:sz="1"/>
              <w:right w:val="single" w:color="DDDDDD" w:sz="1"/>
            </w:tcBorders>
            <w:shd w:fill="C9963A" w:val="clear"/>
            <w:tcMar>
              <w:top w:type="dxa" w:w="80"/>
              <w:left w:type="dxa" w:w="80"/>
              <w:bottom w:type="dxa" w:w="80"/>
              <w:right w:type="dxa" w:w="80"/>
            </w:tcMar>
          </w:tcPr>
          <w:p>
            <w:pPr>
              <w:spacing w:after="0" w:before="0"/>
              <w:jc w:val="center"/>
            </w:pPr>
            <w:r>
              <w:rPr>
                <w:rFonts w:ascii="Calibri" w:cs="Calibri" w:eastAsia="Calibri" w:hAnsi="Calibri"/>
                <w:color w:val="333333"/>
                <w:sz w:val="17"/>
                <w:szCs w:val="17"/>
              </w:rPr>
              <w:t xml:space="preserve">■ Seguimiento KPI’s</w:t>
            </w:r>
          </w:p>
        </w:tc>
        <w:tc>
          <w:tcPr>
            <w:tcW w:type="dxa" w:w="1880"/>
            <w:tcBorders>
              <w:top w:val="single" w:color="DDDDDD" w:sz="1"/>
              <w:left w:val="single" w:color="DDDDDD" w:sz="1"/>
              <w:bottom w:val="single" w:color="DDDDDD" w:sz="1"/>
              <w:right w:val="single" w:color="DDDDDD" w:sz="1"/>
            </w:tcBorders>
            <w:shd w:fill="C9963A" w:val="clear"/>
            <w:tcMar>
              <w:top w:type="dxa" w:w="80"/>
              <w:left w:type="dxa" w:w="80"/>
              <w:bottom w:type="dxa" w:w="80"/>
              <w:right w:type="dxa" w:w="80"/>
            </w:tcMar>
          </w:tcPr>
          <w:p>
            <w:pPr>
              <w:spacing w:after="0" w:before="0"/>
              <w:jc w:val="center"/>
            </w:pPr>
            <w:r>
              <w:rPr>
                <w:rFonts w:ascii="Calibri" w:cs="Calibri" w:eastAsia="Calibri" w:hAnsi="Calibri"/>
                <w:color w:val="333333"/>
                <w:sz w:val="17"/>
                <w:szCs w:val="17"/>
              </w:rPr>
              <w:t xml:space="preserve">■ Optimización continua</w:t>
            </w:r>
          </w:p>
        </w:tc>
      </w:tr>
      <w:tr>
        <w:tc>
          <w:tcPr>
            <w:tcW w:type="dxa" w:w="2100"/>
            <w:tcBorders>
              <w:top w:val="single" w:color="DDDDDD" w:sz="1"/>
              <w:left w:val="single" w:color="DDDDDD" w:sz="1"/>
              <w:bottom w:val="single" w:color="DDDDDD" w:sz="1"/>
              <w:right w:val="single" w:color="DDDDDD" w:sz="1"/>
            </w:tcBorders>
            <w:shd w:fill="1A5F7A" w:val="clear"/>
            <w:tcMar>
              <w:top w:type="dxa" w:w="80"/>
              <w:left w:type="dxa" w:w="120"/>
              <w:bottom w:type="dxa" w:w="80"/>
              <w:right w:type="dxa" w:w="80"/>
            </w:tcMar>
          </w:tcPr>
          <w:p>
            <w:pPr>
              <w:spacing w:after="0" w:before="0"/>
            </w:pPr>
            <w:r>
              <w:rPr>
                <w:rFonts w:ascii="Calibri" w:cs="Calibri" w:eastAsia="Calibri" w:hAnsi="Calibri"/>
                <w:b/>
                <w:bCs/>
                <w:color w:val="1A5F7A"/>
                <w:sz w:val="19"/>
                <w:szCs w:val="19"/>
              </w:rPr>
              <w:t xml:space="preserve">Freskaleche Digital</w:t>
            </w:r>
          </w:p>
        </w:tc>
        <w:tc>
          <w:tcPr>
            <w:tcW w:type="dxa" w:w="1880"/>
            <w:tcBorders>
              <w:top w:val="single" w:color="DDDDDD" w:sz="1"/>
              <w:left w:val="single" w:color="DDDDDD" w:sz="1"/>
              <w:bottom w:val="single" w:color="DDDDDD" w:sz="1"/>
              <w:right w:val="single" w:color="DDDDDD" w:sz="1"/>
            </w:tcBorders>
            <w:shd w:fill="1A5F7A" w:val="clear"/>
            <w:tcMar>
              <w:top w:type="dxa" w:w="80"/>
              <w:left w:type="dxa" w:w="80"/>
              <w:bottom w:type="dxa" w:w="80"/>
              <w:right w:type="dxa" w:w="80"/>
            </w:tcMar>
          </w:tcPr>
          <w:p>
            <w:pPr>
              <w:spacing w:after="0" w:before="0"/>
              <w:jc w:val="center"/>
            </w:pPr>
            <w:r>
              <w:rPr>
                <w:rFonts w:ascii="Calibri" w:cs="Calibri" w:eastAsia="Calibri" w:hAnsi="Calibri"/>
                <w:color w:val="333333"/>
                <w:sz w:val="17"/>
                <w:szCs w:val="17"/>
              </w:rPr>
              <w:t xml:space="preserve">■ Benchmarking + selección plataforma</w:t>
            </w:r>
          </w:p>
        </w:tc>
        <w:tc>
          <w:tcPr>
            <w:tcW w:type="dxa" w:w="1880"/>
            <w:tcBorders>
              <w:top w:val="single" w:color="DDDDDD" w:sz="1"/>
              <w:left w:val="single" w:color="DDDDDD" w:sz="1"/>
              <w:bottom w:val="single" w:color="DDDDDD" w:sz="1"/>
              <w:right w:val="single" w:color="DDDDDD" w:sz="1"/>
            </w:tcBorders>
            <w:shd w:fill="1A5F7A" w:val="clear"/>
            <w:tcMar>
              <w:top w:type="dxa" w:w="80"/>
              <w:left w:type="dxa" w:w="80"/>
              <w:bottom w:type="dxa" w:w="80"/>
              <w:right w:type="dxa" w:w="80"/>
            </w:tcMar>
          </w:tcPr>
          <w:p>
            <w:pPr>
              <w:spacing w:after="0" w:before="0"/>
              <w:jc w:val="center"/>
            </w:pPr>
            <w:r>
              <w:rPr>
                <w:rFonts w:ascii="Calibri" w:cs="Calibri" w:eastAsia="Calibri" w:hAnsi="Calibri"/>
                <w:color w:val="333333"/>
                <w:sz w:val="17"/>
                <w:szCs w:val="17"/>
              </w:rPr>
              <w:t xml:space="preserve">■ Desarrollo + piloto</w:t>
            </w:r>
          </w:p>
        </w:tc>
        <w:tc>
          <w:tcPr>
            <w:tcW w:type="dxa" w:w="1880"/>
            <w:tcBorders>
              <w:top w:val="single" w:color="DDDDDD" w:sz="1"/>
              <w:left w:val="single" w:color="DDDDDD" w:sz="1"/>
              <w:bottom w:val="single" w:color="DDDDDD" w:sz="1"/>
              <w:right w:val="single" w:color="DDDDDD" w:sz="1"/>
            </w:tcBorders>
            <w:shd w:fill="1A5F7A" w:val="clear"/>
            <w:tcMar>
              <w:top w:type="dxa" w:w="80"/>
              <w:left w:type="dxa" w:w="80"/>
              <w:bottom w:type="dxa" w:w="80"/>
              <w:right w:type="dxa" w:w="80"/>
            </w:tcMar>
          </w:tcPr>
          <w:p>
            <w:pPr>
              <w:spacing w:after="0" w:before="0"/>
              <w:jc w:val="center"/>
            </w:pPr>
            <w:r>
              <w:rPr>
                <w:rFonts w:ascii="Calibri" w:cs="Calibri" w:eastAsia="Calibri" w:hAnsi="Calibri"/>
                <w:color w:val="333333"/>
                <w:sz w:val="17"/>
                <w:szCs w:val="17"/>
              </w:rPr>
              <w:t xml:space="preserve">■ Lanzamiento comercial</w:t>
            </w:r>
          </w:p>
        </w:tc>
        <w:tc>
          <w:tcPr>
            <w:tcW w:type="dxa" w:w="1880"/>
            <w:tcBorders>
              <w:top w:val="single" w:color="DDDDDD" w:sz="1"/>
              <w:left w:val="single" w:color="DDDDDD" w:sz="1"/>
              <w:bottom w:val="single" w:color="DDDDDD" w:sz="1"/>
              <w:right w:val="single" w:color="DDDDDD" w:sz="1"/>
            </w:tcBorders>
            <w:shd w:fill="1A5F7A" w:val="clear"/>
            <w:tcMar>
              <w:top w:type="dxa" w:w="80"/>
              <w:left w:type="dxa" w:w="80"/>
              <w:bottom w:type="dxa" w:w="80"/>
              <w:right w:type="dxa" w:w="80"/>
            </w:tcMar>
          </w:tcPr>
          <w:p>
            <w:pPr>
              <w:spacing w:after="0" w:before="0"/>
              <w:jc w:val="center"/>
            </w:pPr>
            <w:r>
              <w:rPr>
                <w:rFonts w:ascii="Calibri" w:cs="Calibri" w:eastAsia="Calibri" w:hAnsi="Calibri"/>
                <w:color w:val="333333"/>
                <w:sz w:val="17"/>
                <w:szCs w:val="17"/>
              </w:rPr>
              <w:t xml:space="preserve">■ CRO + escala</w:t>
            </w:r>
          </w:p>
        </w:tc>
      </w:tr>
      <w:tr>
        <w:tc>
          <w:tcPr>
            <w:tcW w:type="dxa" w:w="2100"/>
            <w:tcBorders>
              <w:top w:val="single" w:color="DDDDDD" w:sz="1"/>
              <w:left w:val="single" w:color="DDDDDD" w:sz="1"/>
              <w:bottom w:val="single" w:color="DDDDDD" w:sz="1"/>
              <w:right w:val="single" w:color="DDDDDD" w:sz="1"/>
            </w:tcBorders>
            <w:shd w:fill="1A8A72" w:val="clear"/>
            <w:tcMar>
              <w:top w:type="dxa" w:w="80"/>
              <w:left w:type="dxa" w:w="120"/>
              <w:bottom w:type="dxa" w:w="80"/>
              <w:right w:type="dxa" w:w="80"/>
            </w:tcMar>
          </w:tcPr>
          <w:p>
            <w:pPr>
              <w:spacing w:after="0" w:before="0"/>
            </w:pPr>
            <w:r>
              <w:rPr>
                <w:rFonts w:ascii="Calibri" w:cs="Calibri" w:eastAsia="Calibri" w:hAnsi="Calibri"/>
                <w:b/>
                <w:bCs/>
                <w:color w:val="1A8A72"/>
                <w:sz w:val="19"/>
                <w:szCs w:val="19"/>
              </w:rPr>
              <w:t xml:space="preserve">Eco-Hub</w:t>
            </w:r>
          </w:p>
        </w:tc>
        <w:tc>
          <w:tcPr>
            <w:tcW w:type="dxa" w:w="1880"/>
            <w:tcBorders>
              <w:top w:val="single" w:color="DDDDDD" w:sz="1"/>
              <w:left w:val="single" w:color="DDDDDD" w:sz="1"/>
              <w:bottom w:val="single" w:color="DDDDDD" w:sz="1"/>
              <w:right w:val="single" w:color="DDDDDD" w:sz="1"/>
            </w:tcBorders>
            <w:shd w:fill="1A8A72" w:val="clear"/>
            <w:tcMar>
              <w:top w:type="dxa" w:w="80"/>
              <w:left w:type="dxa" w:w="80"/>
              <w:bottom w:type="dxa" w:w="80"/>
              <w:right w:type="dxa" w:w="80"/>
            </w:tcMar>
          </w:tcPr>
          <w:p>
            <w:pPr>
              <w:spacing w:after="0" w:before="0"/>
              <w:jc w:val="center"/>
            </w:pPr>
            <w:r>
              <w:rPr>
                <w:rFonts w:ascii="Calibri" w:cs="Calibri" w:eastAsia="Calibri" w:hAnsi="Calibri"/>
                <w:color w:val="333333"/>
                <w:sz w:val="17"/>
                <w:szCs w:val="17"/>
              </w:rPr>
              <w:t xml:space="preserve">■ ACV + I+D empaque</w:t>
            </w:r>
          </w:p>
        </w:tc>
        <w:tc>
          <w:tcPr>
            <w:tcW w:type="dxa" w:w="1880"/>
            <w:tcBorders>
              <w:top w:val="single" w:color="DDDDDD" w:sz="1"/>
              <w:left w:val="single" w:color="DDDDDD" w:sz="1"/>
              <w:bottom w:val="single" w:color="DDDDDD" w:sz="1"/>
              <w:right w:val="single" w:color="DDDDDD" w:sz="1"/>
            </w:tcBorders>
            <w:shd w:fill="1A8A72" w:val="clear"/>
            <w:tcMar>
              <w:top w:type="dxa" w:w="80"/>
              <w:left w:type="dxa" w:w="80"/>
              <w:bottom w:type="dxa" w:w="80"/>
              <w:right w:type="dxa" w:w="80"/>
            </w:tcMar>
          </w:tcPr>
          <w:p>
            <w:pPr>
              <w:spacing w:after="0" w:before="0"/>
              <w:jc w:val="center"/>
            </w:pPr>
            <w:r>
              <w:rPr>
                <w:rFonts w:ascii="Calibri" w:cs="Calibri" w:eastAsia="Calibri" w:hAnsi="Calibri"/>
                <w:color w:val="333333"/>
                <w:sz w:val="17"/>
                <w:szCs w:val="17"/>
              </w:rPr>
              <w:t xml:space="preserve">■ Prototipo + eco-sistema</w:t>
            </w:r>
          </w:p>
        </w:tc>
        <w:tc>
          <w:tcPr>
            <w:tcW w:type="dxa" w:w="1880"/>
            <w:tcBorders>
              <w:top w:val="single" w:color="DDDDDD" w:sz="1"/>
              <w:left w:val="single" w:color="DDDDDD" w:sz="1"/>
              <w:bottom w:val="single" w:color="DDDDDD" w:sz="1"/>
              <w:right w:val="single" w:color="DDDDDD" w:sz="1"/>
            </w:tcBorders>
            <w:shd w:fill="1A8A72" w:val="clear"/>
            <w:tcMar>
              <w:top w:type="dxa" w:w="80"/>
              <w:left w:type="dxa" w:w="80"/>
              <w:bottom w:type="dxa" w:w="80"/>
              <w:right w:type="dxa" w:w="80"/>
            </w:tcMar>
          </w:tcPr>
          <w:p>
            <w:pPr>
              <w:spacing w:after="0" w:before="0"/>
              <w:jc w:val="center"/>
            </w:pPr>
            <w:r>
              <w:rPr>
                <w:rFonts w:ascii="Calibri" w:cs="Calibri" w:eastAsia="Calibri" w:hAnsi="Calibri"/>
                <w:color w:val="333333"/>
                <w:sz w:val="17"/>
                <w:szCs w:val="17"/>
              </w:rPr>
              <w:t xml:space="preserve">■ Certificación + QR</w:t>
            </w:r>
          </w:p>
        </w:tc>
        <w:tc>
          <w:tcPr>
            <w:tcW w:type="dxa" w:w="1880"/>
            <w:tcBorders>
              <w:top w:val="single" w:color="DDDDDD" w:sz="1"/>
              <w:left w:val="single" w:color="DDDDDD" w:sz="1"/>
              <w:bottom w:val="single" w:color="DDDDDD" w:sz="1"/>
              <w:right w:val="single" w:color="DDDDDD" w:sz="1"/>
            </w:tcBorders>
            <w:shd w:fill="1A8A72" w:val="clear"/>
            <w:tcMar>
              <w:top w:type="dxa" w:w="80"/>
              <w:left w:type="dxa" w:w="80"/>
              <w:bottom w:type="dxa" w:w="80"/>
              <w:right w:type="dxa" w:w="80"/>
            </w:tcMar>
          </w:tcPr>
          <w:p>
            <w:pPr>
              <w:spacing w:after="0" w:before="0"/>
              <w:jc w:val="center"/>
            </w:pPr>
            <w:r>
              <w:rPr>
                <w:rFonts w:ascii="Calibri" w:cs="Calibri" w:eastAsia="Calibri" w:hAnsi="Calibri"/>
                <w:color w:val="333333"/>
                <w:sz w:val="17"/>
                <w:szCs w:val="17"/>
              </w:rPr>
              <w:t xml:space="preserve">■ Comunicación marca verde</w:t>
            </w:r>
          </w:p>
        </w:tc>
      </w:tr>
    </w:tbl>
    <w:p>
      <w:pPr>
        <w:spacing w:after="60" w:before="60"/>
      </w:pPr>
    </w:p>
    <w:p>
      <w:pPr>
        <w:pBdr>
          <w:bottom w:val="single" w:color="C9963A" w:sz="4"/>
        </w:pBdr>
        <w:shd w:fill="0D1B3E" w:val="clear"/>
        <w:spacing w:after="120" w:before="320"/>
        <w:ind w:left="180" w:right="180"/>
        <w:jc w:val="left"/>
      </w:pPr>
      <w:r>
        <w:rPr>
          <w:rFonts w:ascii="Calibri" w:cs="Calibri" w:eastAsia="Calibri" w:hAnsi="Calibri"/>
          <w:b/>
          <w:bCs/>
          <w:color w:val="FFFFFF"/>
          <w:sz w:val="22"/>
          <w:szCs w:val="22"/>
        </w:rPr>
        <w:t xml:space="preserve">7. RECOMENDACIONES EJECUTIVAS</w:t>
      </w:r>
    </w:p>
    <w:p>
      <w:pPr>
        <w:spacing w:after="100" w:before="60"/>
        <w:jc w:val="both"/>
      </w:pPr>
      <w:r>
        <w:rPr>
          <w:rFonts w:ascii="Calibri" w:cs="Calibri" w:eastAsia="Calibri" w:hAnsi="Calibri"/>
          <w:color w:val="333333"/>
          <w:sz w:val="21"/>
          <w:szCs w:val="21"/>
        </w:rPr>
        <w:t xml:space="preserve">Las siguientes recomendaciones están diseñadas para facilitar la adopción del plan por parte de la alta dirección de Freskaleche S.A.S.:</w:t>
      </w:r>
    </w:p>
    <w:p>
      <w:pPr>
        <w:spacing w:after="60"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2200"/>
        <w:gridCol w:w="5720"/>
      </w:tblGrid>
      <w:tr>
        <w:tc>
          <w:tcPr>
            <w:tcW w:type="dxa" w:w="1440"/>
            <w:tcBorders>
              <w:top w:val="single" w:color="DDDDDD" w:sz="1"/>
              <w:left w:val="single" w:color="DDDDDD" w:sz="1"/>
              <w:bottom w:val="single" w:color="DDDDDD" w:sz="1"/>
              <w:right w:val="single" w:color="DDDDDD" w:sz="1"/>
            </w:tcBorders>
            <w:shd w:fill="0D1B3E" w:val="clear"/>
            <w:tcMar>
              <w:top w:type="dxa" w:w="100"/>
              <w:left w:type="dxa" w:w="100"/>
              <w:bottom w:type="dxa" w:w="100"/>
              <w:right w:type="dxa" w:w="80"/>
            </w:tcMar>
          </w:tcPr>
          <w:p>
            <w:pPr>
              <w:spacing w:after="0" w:before="0"/>
              <w:jc w:val="center"/>
            </w:pPr>
            <w:r>
              <w:rPr>
                <w:rFonts w:ascii="Calibri" w:cs="Calibri" w:eastAsia="Calibri" w:hAnsi="Calibri"/>
                <w:b/>
                <w:bCs/>
                <w:color w:val="FFFFFF"/>
                <w:sz w:val="20"/>
                <w:szCs w:val="20"/>
              </w:rPr>
              <w:t xml:space="preserve">Horizonte</w:t>
            </w:r>
          </w:p>
        </w:tc>
        <w:tc>
          <w:tcPr>
            <w:tcW w:type="dxa" w:w="2200"/>
            <w:tcBorders>
              <w:top w:val="single" w:color="DDDDDD" w:sz="1"/>
              <w:left w:val="single" w:color="DDDDDD" w:sz="1"/>
              <w:bottom w:val="single" w:color="DDDDDD" w:sz="1"/>
              <w:right w:val="single" w:color="DDDDDD" w:sz="1"/>
            </w:tcBorders>
            <w:shd w:fill="0D1B3E" w:val="clear"/>
            <w:tcMar>
              <w:top w:type="dxa" w:w="100"/>
              <w:left w:type="dxa" w:w="120"/>
              <w:bottom w:type="dxa" w:w="100"/>
              <w:right w:type="dxa" w:w="80"/>
            </w:tcMar>
          </w:tcPr>
          <w:p>
            <w:pPr>
              <w:spacing w:after="0" w:before="0"/>
            </w:pPr>
            <w:r>
              <w:rPr>
                <w:rFonts w:ascii="Calibri" w:cs="Calibri" w:eastAsia="Calibri" w:hAnsi="Calibri"/>
                <w:b/>
                <w:bCs/>
                <w:color w:val="FFFFFF"/>
                <w:sz w:val="20"/>
                <w:szCs w:val="20"/>
              </w:rPr>
              <w:t xml:space="preserve">Liderazgo</w:t>
            </w:r>
          </w:p>
        </w:tc>
        <w:tc>
          <w:tcPr>
            <w:tcW w:type="dxa" w:w="5720"/>
            <w:tcBorders>
              <w:top w:val="single" w:color="DDDDDD" w:sz="1"/>
              <w:left w:val="single" w:color="DDDDDD" w:sz="1"/>
              <w:bottom w:val="single" w:color="DDDDDD" w:sz="1"/>
              <w:right w:val="single" w:color="DDDDDD" w:sz="1"/>
            </w:tcBorders>
            <w:shd w:fill="0D1B3E" w:val="clear"/>
            <w:tcMar>
              <w:top w:type="dxa" w:w="100"/>
              <w:left w:type="dxa" w:w="120"/>
              <w:bottom w:type="dxa" w:w="100"/>
              <w:right w:type="dxa" w:w="120"/>
            </w:tcMar>
          </w:tcPr>
          <w:p>
            <w:pPr>
              <w:spacing w:after="0" w:before="0"/>
            </w:pPr>
            <w:r>
              <w:rPr>
                <w:rFonts w:ascii="Calibri" w:cs="Calibri" w:eastAsia="Calibri" w:hAnsi="Calibri"/>
                <w:b/>
                <w:bCs/>
                <w:color w:val="FFFFFF"/>
                <w:sz w:val="20"/>
                <w:szCs w:val="20"/>
              </w:rPr>
              <w:t xml:space="preserve">Acción recomendada</w:t>
            </w:r>
          </w:p>
        </w:tc>
      </w:tr>
      <w:tr>
        <w:tc>
          <w:tcPr>
            <w:tcW w:type="dxa" w:w="1440"/>
            <w:tcBorders>
              <w:top w:val="single" w:color="DDDDDD" w:sz="1"/>
              <w:left w:val="single" w:color="DDDDDD" w:sz="1"/>
              <w:bottom w:val="single" w:color="DDDDDD" w:sz="1"/>
              <w:right w:val="single" w:color="DDDDDD" w:sz="1"/>
            </w:tcBorders>
            <w:shd w:fill="C9963A" w:val="clear"/>
            <w:tcMar>
              <w:top w:type="dxa" w:w="100"/>
              <w:left w:type="dxa" w:w="120"/>
              <w:bottom w:type="dxa" w:w="100"/>
              <w:right w:type="dxa" w:w="100"/>
            </w:tcMar>
            <w:vAlign w:val="center"/>
          </w:tcPr>
          <w:p>
            <w:pPr>
              <w:spacing w:after="0" w:before="0"/>
              <w:jc w:val="center"/>
            </w:pPr>
            <w:r>
              <w:rPr>
                <w:rFonts w:ascii="Calibri" w:cs="Calibri" w:eastAsia="Calibri" w:hAnsi="Calibri"/>
                <w:b/>
                <w:bCs/>
                <w:color w:val="FFFFFF"/>
                <w:sz w:val="18"/>
                <w:szCs w:val="18"/>
              </w:rPr>
              <w:t xml:space="preserve">Q1–Q2
2026</w:t>
            </w:r>
          </w:p>
        </w:tc>
        <w:tc>
          <w:tcPr>
            <w:tcW w:type="dxa" w:w="2200"/>
            <w:tcBorders>
              <w:top w:val="single" w:color="DDDDDD" w:sz="1"/>
              <w:left w:val="single" w:color="DDDDDD" w:sz="1"/>
              <w:bottom w:val="single" w:color="DDDDDD" w:sz="1"/>
              <w:right w:val="single" w:color="DDDDDD" w:sz="1"/>
            </w:tcBorders>
            <w:tcMar>
              <w:top w:type="dxa" w:w="100"/>
              <w:left w:type="dxa" w:w="120"/>
              <w:bottom w:type="dxa" w:w="100"/>
              <w:right w:type="dxa" w:w="100"/>
            </w:tcMar>
          </w:tcPr>
          <w:p>
            <w:pPr>
              <w:spacing w:after="0" w:before="0"/>
            </w:pPr>
            <w:r>
              <w:rPr>
                <w:rFonts w:ascii="Calibri" w:cs="Calibri" w:eastAsia="Calibri" w:hAnsi="Calibri"/>
                <w:b/>
                <w:bCs/>
                <w:color w:val="0D1B3E"/>
                <w:sz w:val="19"/>
                <w:szCs w:val="19"/>
              </w:rPr>
              <w:t xml:space="preserve">Gerencia de Mercadeo y Comercial</w:t>
            </w:r>
          </w:p>
        </w:tc>
        <w:tc>
          <w:tcPr>
            <w:tcW w:type="dxa" w:w="5720"/>
            <w:tcBorders>
              <w:top w:val="single" w:color="DDDDDD" w:sz="1"/>
              <w:left w:val="single" w:color="DDDDDD" w:sz="1"/>
              <w:bottom w:val="single" w:color="DDDDDD" w:sz="1"/>
              <w:right w:val="single" w:color="DDDDDD" w:sz="1"/>
            </w:tcBorders>
            <w:tcMar>
              <w:top w:type="dxa" w:w="100"/>
              <w:left w:type="dxa" w:w="120"/>
              <w:bottom w:type="dxa" w:w="100"/>
              <w:right w:type="dxa" w:w="120"/>
            </w:tcMar>
          </w:tcPr>
          <w:p>
            <w:pPr>
              <w:spacing w:after="0" w:before="0"/>
              <w:jc w:val="both"/>
            </w:pPr>
            <w:r>
              <w:rPr>
                <w:rFonts w:ascii="Calibri" w:cs="Calibri" w:eastAsia="Calibri" w:hAnsi="Calibri"/>
                <w:color w:val="333333"/>
                <w:sz w:val="19"/>
                <w:szCs w:val="19"/>
              </w:rPr>
              <w:t xml:space="preserve">Conformar el Comité de Innovación (reunión quincenal, reporte a alta dirección). Iniciar Sprint Comercial como primer proyecto —no requiere inversión tecnológica significativa y genera resultados visibles en 6 meses. Asignar líder y presupuesto a los tres proyectos antes de marzo 2026.</w:t>
            </w:r>
          </w:p>
        </w:tc>
      </w:tr>
      <w:tr>
        <w:tc>
          <w:tcPr>
            <w:tcW w:type="dxa" w:w="1440"/>
            <w:tcBorders>
              <w:top w:val="single" w:color="DDDDDD" w:sz="1"/>
              <w:left w:val="single" w:color="DDDDDD" w:sz="1"/>
              <w:bottom w:val="single" w:color="DDDDDD" w:sz="1"/>
              <w:right w:val="single" w:color="DDDDDD" w:sz="1"/>
            </w:tcBorders>
            <w:shd w:fill="1A8A72" w:val="clear"/>
            <w:tcMar>
              <w:top w:type="dxa" w:w="100"/>
              <w:left w:type="dxa" w:w="120"/>
              <w:bottom w:type="dxa" w:w="100"/>
              <w:right w:type="dxa" w:w="100"/>
            </w:tcMar>
            <w:vAlign w:val="center"/>
          </w:tcPr>
          <w:p>
            <w:pPr>
              <w:spacing w:after="0" w:before="0"/>
              <w:jc w:val="center"/>
            </w:pPr>
            <w:r>
              <w:rPr>
                <w:rFonts w:ascii="Calibri" w:cs="Calibri" w:eastAsia="Calibri" w:hAnsi="Calibri"/>
                <w:b/>
                <w:bCs/>
                <w:color w:val="FFFFFF"/>
                <w:sz w:val="18"/>
                <w:szCs w:val="18"/>
              </w:rPr>
              <w:t xml:space="preserve">Q3 2026–Q2 2027</w:t>
            </w:r>
          </w:p>
        </w:tc>
        <w:tc>
          <w:tcPr>
            <w:tcW w:type="dxa" w:w="2200"/>
            <w:tcBorders>
              <w:top w:val="single" w:color="DDDDDD" w:sz="1"/>
              <w:left w:val="single" w:color="DDDDDD" w:sz="1"/>
              <w:bottom w:val="single" w:color="DDDDDD" w:sz="1"/>
              <w:right w:val="single" w:color="DDDDDD" w:sz="1"/>
            </w:tcBorders>
            <w:tcMar>
              <w:top w:type="dxa" w:w="100"/>
              <w:left w:type="dxa" w:w="120"/>
              <w:bottom w:type="dxa" w:w="100"/>
              <w:right w:type="dxa" w:w="100"/>
            </w:tcMar>
          </w:tcPr>
          <w:p>
            <w:pPr>
              <w:spacing w:after="0" w:before="0"/>
            </w:pPr>
            <w:r>
              <w:rPr>
                <w:rFonts w:ascii="Calibri" w:cs="Calibri" w:eastAsia="Calibri" w:hAnsi="Calibri"/>
                <w:b/>
                <w:bCs/>
                <w:color w:val="0D1B3E"/>
                <w:sz w:val="19"/>
                <w:szCs w:val="19"/>
              </w:rPr>
              <w:t xml:space="preserve">Jefe Marketing Digital / Gerente de Proyectos</w:t>
            </w:r>
          </w:p>
        </w:tc>
        <w:tc>
          <w:tcPr>
            <w:tcW w:type="dxa" w:w="5720"/>
            <w:tcBorders>
              <w:top w:val="single" w:color="DDDDDD" w:sz="1"/>
              <w:left w:val="single" w:color="DDDDDD" w:sz="1"/>
              <w:bottom w:val="single" w:color="DDDDDD" w:sz="1"/>
              <w:right w:val="single" w:color="DDDDDD" w:sz="1"/>
            </w:tcBorders>
            <w:tcMar>
              <w:top w:type="dxa" w:w="100"/>
              <w:left w:type="dxa" w:w="120"/>
              <w:bottom w:type="dxa" w:w="100"/>
              <w:right w:type="dxa" w:w="120"/>
            </w:tcMar>
          </w:tcPr>
          <w:p>
            <w:pPr>
              <w:spacing w:after="0" w:before="0"/>
              <w:jc w:val="both"/>
            </w:pPr>
            <w:r>
              <w:rPr>
                <w:rFonts w:ascii="Calibri" w:cs="Calibri" w:eastAsia="Calibri" w:hAnsi="Calibri"/>
                <w:color w:val="333333"/>
                <w:sz w:val="19"/>
                <w:szCs w:val="19"/>
              </w:rPr>
              <w:t xml:space="preserve">Avanzar en Freskaleche Digital: benchmarking de plataformas en Q1, selección tecnológica y desarrollo del canal antes de Q3. Arrancar el Análisis de Ciclo de Vida (ACV) del empaque para Eco-Hub. Activar alianzas con la UIS y proveedores de materiales sostenibles.</w:t>
            </w:r>
          </w:p>
        </w:tc>
      </w:tr>
      <w:tr>
        <w:tc>
          <w:tcPr>
            <w:tcW w:type="dxa" w:w="1440"/>
            <w:tcBorders>
              <w:top w:val="single" w:color="DDDDDD" w:sz="1"/>
              <w:left w:val="single" w:color="DDDDDD" w:sz="1"/>
              <w:bottom w:val="single" w:color="DDDDDD" w:sz="1"/>
              <w:right w:val="single" w:color="DDDDDD" w:sz="1"/>
            </w:tcBorders>
            <w:shd w:fill="0D1B3E" w:val="clear"/>
            <w:tcMar>
              <w:top w:type="dxa" w:w="100"/>
              <w:left w:type="dxa" w:w="120"/>
              <w:bottom w:type="dxa" w:w="100"/>
              <w:right w:type="dxa" w:w="100"/>
            </w:tcMar>
            <w:vAlign w:val="center"/>
          </w:tcPr>
          <w:p>
            <w:pPr>
              <w:spacing w:after="0" w:before="0"/>
              <w:jc w:val="center"/>
            </w:pPr>
            <w:r>
              <w:rPr>
                <w:rFonts w:ascii="Calibri" w:cs="Calibri" w:eastAsia="Calibri" w:hAnsi="Calibri"/>
                <w:b/>
                <w:bCs/>
                <w:color w:val="FFFFFF"/>
                <w:sz w:val="18"/>
                <w:szCs w:val="18"/>
              </w:rPr>
              <w:t xml:space="preserve">Q3 2027+</w:t>
            </w:r>
          </w:p>
        </w:tc>
        <w:tc>
          <w:tcPr>
            <w:tcW w:type="dxa" w:w="2200"/>
            <w:tcBorders>
              <w:top w:val="single" w:color="DDDDDD" w:sz="1"/>
              <w:left w:val="single" w:color="DDDDDD" w:sz="1"/>
              <w:bottom w:val="single" w:color="DDDDDD" w:sz="1"/>
              <w:right w:val="single" w:color="DDDDDD" w:sz="1"/>
            </w:tcBorders>
            <w:tcMar>
              <w:top w:type="dxa" w:w="100"/>
              <w:left w:type="dxa" w:w="120"/>
              <w:bottom w:type="dxa" w:w="100"/>
              <w:right w:type="dxa" w:w="100"/>
            </w:tcMar>
          </w:tcPr>
          <w:p>
            <w:pPr>
              <w:spacing w:after="0" w:before="0"/>
            </w:pPr>
            <w:r>
              <w:rPr>
                <w:rFonts w:ascii="Calibri" w:cs="Calibri" w:eastAsia="Calibri" w:hAnsi="Calibri"/>
                <w:b/>
                <w:bCs/>
                <w:color w:val="0D1B3E"/>
                <w:sz w:val="19"/>
                <w:szCs w:val="19"/>
              </w:rPr>
              <w:t xml:space="preserve">Alta Gerencia</w:t>
            </w:r>
          </w:p>
        </w:tc>
        <w:tc>
          <w:tcPr>
            <w:tcW w:type="dxa" w:w="5720"/>
            <w:tcBorders>
              <w:top w:val="single" w:color="DDDDDD" w:sz="1"/>
              <w:left w:val="single" w:color="DDDDDD" w:sz="1"/>
              <w:bottom w:val="single" w:color="DDDDDD" w:sz="1"/>
              <w:right w:val="single" w:color="DDDDDD" w:sz="1"/>
            </w:tcBorders>
            <w:tcMar>
              <w:top w:type="dxa" w:w="100"/>
              <w:left w:type="dxa" w:w="120"/>
              <w:bottom w:type="dxa" w:w="100"/>
              <w:right w:type="dxa" w:w="120"/>
            </w:tcMar>
          </w:tcPr>
          <w:p>
            <w:pPr>
              <w:spacing w:after="0" w:before="0"/>
              <w:jc w:val="both"/>
            </w:pPr>
            <w:r>
              <w:rPr>
                <w:rFonts w:ascii="Calibri" w:cs="Calibri" w:eastAsia="Calibri" w:hAnsi="Calibri"/>
                <w:color w:val="333333"/>
                <w:sz w:val="19"/>
                <w:szCs w:val="19"/>
              </w:rPr>
              <w:t xml:space="preserve">Evaluación integral de KPI’s comparando baselines 2024 con resultados. Decidir escalabilidad de proyectos exitosos e incorporar nuevas iniciativas al portafolio 2028–2029. Considerar replicar el marco metodológico (bibliometría + Design Thinking + MICMAC) en otras áreas funcionales de la empresa.</w:t>
            </w:r>
          </w:p>
        </w:tc>
      </w:tr>
    </w:tbl>
    <w:p>
      <w:pPr>
        <w:spacing w:after="60" w:before="60"/>
      </w:pPr>
    </w:p>
    <w:p>
      <w:pPr>
        <w:pBdr>
          <w:bottom w:val="single" w:color="C9963A" w:sz="4"/>
        </w:pBdr>
        <w:shd w:fill="0D1B3E" w:val="clear"/>
        <w:spacing w:after="120" w:before="320"/>
        <w:ind w:left="180" w:right="180"/>
        <w:jc w:val="left"/>
      </w:pPr>
      <w:r>
        <w:rPr>
          <w:rFonts w:ascii="Calibri" w:cs="Calibri" w:eastAsia="Calibri" w:hAnsi="Calibri"/>
          <w:b/>
          <w:bCs/>
          <w:color w:val="FFFFFF"/>
          <w:sz w:val="22"/>
          <w:szCs w:val="22"/>
        </w:rPr>
        <w:t xml:space="preserve">8. CONCLUSIONES</w:t>
      </w:r>
    </w:p>
    <w:p>
      <w:pPr>
        <w:spacing w:after="100" w:before="60"/>
        <w:jc w:val="both"/>
      </w:pPr>
      <w:r>
        <w:rPr>
          <w:rFonts w:ascii="Calibri" w:cs="Calibri" w:eastAsia="Calibri" w:hAnsi="Calibri"/>
          <w:color w:val="333333"/>
          <w:sz w:val="21"/>
          <w:szCs w:val="21"/>
        </w:rPr>
        <w:t xml:space="preserve">Este estudio entrega a Freskaleche S.A.S. tres activos estratégicos diferenciados:</w:t>
      </w:r>
    </w:p>
    <w:p>
      <w:pPr>
        <w:pStyle w:val="ListParagraph"/>
        <w:numPr>
          <w:ilvl w:val="0"/>
          <w:numId w:val="2"/>
        </w:numPr>
        <w:spacing w:after="60" w:before="40"/>
      </w:pPr>
      <w:r>
        <w:rPr>
          <w:rFonts w:ascii="Calibri" w:cs="Calibri" w:eastAsia="Calibri" w:hAnsi="Calibri"/>
          <w:b/>
          <w:bCs/>
          <w:color w:val="0D1B3E"/>
          <w:sz w:val="21"/>
          <w:szCs w:val="21"/>
        </w:rPr>
        <w:t xml:space="preserve">1. </w:t>
      </w:r>
      <w:r>
        <w:rPr>
          <w:rFonts w:ascii="Calibri" w:cs="Calibri" w:eastAsia="Calibri" w:hAnsi="Calibri"/>
          <w:color w:val="333333"/>
          <w:sz w:val="21"/>
          <w:szCs w:val="21"/>
        </w:rPr>
        <w:t xml:space="preserve">Un diagnóstico estructurado de su capacidad innovadora en mercadeo y comercial, basado en evidencia científica y datos internos de la compañía.</w:t>
      </w:r>
    </w:p>
    <w:p>
      <w:pPr>
        <w:pStyle w:val="ListParagraph"/>
        <w:numPr>
          <w:ilvl w:val="0"/>
          <w:numId w:val="2"/>
        </w:numPr>
        <w:spacing w:after="60" w:before="40"/>
      </w:pPr>
      <w:r>
        <w:rPr>
          <w:rFonts w:ascii="Calibri" w:cs="Calibri" w:eastAsia="Calibri" w:hAnsi="Calibri"/>
          <w:b/>
          <w:bCs/>
          <w:color w:val="0D1B3E"/>
          <w:sz w:val="21"/>
          <w:szCs w:val="21"/>
        </w:rPr>
        <w:t xml:space="preserve">2. </w:t>
      </w:r>
      <w:r>
        <w:rPr>
          <w:rFonts w:ascii="Calibri" w:cs="Calibri" w:eastAsia="Calibri" w:hAnsi="Calibri"/>
          <w:color w:val="333333"/>
          <w:sz w:val="21"/>
          <w:szCs w:val="21"/>
        </w:rPr>
        <w:t xml:space="preserve">La identificación de las seis variables que condicionan el desempeño del sistema y que, al ser intervenidas, generan efectos amplificados sobre el posicionamiento y el desempeño comercial.</w:t>
      </w:r>
    </w:p>
    <w:p>
      <w:pPr>
        <w:pStyle w:val="ListParagraph"/>
        <w:numPr>
          <w:ilvl w:val="0"/>
          <w:numId w:val="2"/>
        </w:numPr>
        <w:spacing w:after="60" w:before="40"/>
      </w:pPr>
      <w:r>
        <w:rPr>
          <w:rFonts w:ascii="Calibri" w:cs="Calibri" w:eastAsia="Calibri" w:hAnsi="Calibri"/>
          <w:b/>
          <w:bCs/>
          <w:color w:val="0D1B3E"/>
          <w:sz w:val="21"/>
          <w:szCs w:val="21"/>
        </w:rPr>
        <w:t xml:space="preserve">3. </w:t>
      </w:r>
      <w:r>
        <w:rPr>
          <w:rFonts w:ascii="Calibri" w:cs="Calibri" w:eastAsia="Calibri" w:hAnsi="Calibri"/>
          <w:color w:val="333333"/>
          <w:sz w:val="21"/>
          <w:szCs w:val="21"/>
        </w:rPr>
        <w:t xml:space="preserve">Un portafolio de tres proyectos priorizados con planes de acción ejecutables, KPI’s medibles y cronograma 2026–2027.</w:t>
      </w:r>
    </w:p>
    <w:p>
      <w:pPr>
        <w:spacing w:after="60" w:before="80"/>
      </w:pPr>
    </w:p>
    <w:p>
      <w:pPr>
        <w:spacing w:after="100" w:before="60"/>
        <w:jc w:val="both"/>
      </w:pPr>
      <w:r>
        <w:rPr>
          <w:rFonts w:ascii="Calibri" w:cs="Calibri" w:eastAsia="Calibri" w:hAnsi="Calibri"/>
          <w:color w:val="333333"/>
          <w:sz w:val="21"/>
          <w:szCs w:val="21"/>
        </w:rPr>
        <w:t xml:space="preserve">Freskaleche tiene un activo que muy pocas marcas tienen en su región: una conexión emocional genuina con sus consumidores. Este plan de innovación busca que esa fortaleza no se quede en el pasado, sino que se proyecte hacia el futuro con una propuesta de valor digital, sostenible y alineada con lo que el mercado está pidiendo. La implementación exitosa de este plan posicionará a Freskaleche S.A.S. como referente de innovación en el sector lácteo del nororiente colombiano, contribuyendo a la estabilidad de más de 79.000 empleos del sector.</w:t>
      </w:r>
    </w:p>
    <w:p>
      <w:pPr>
        <w:spacing w:after="60" w:before="120"/>
      </w:pPr>
    </w:p>
    <w:p>
      <w:pPr>
        <w:shd w:fill="F5F5F5" w:val="clear"/>
        <w:spacing w:after="120" w:before="120"/>
        <w:ind w:left="240" w:right="240"/>
      </w:pPr>
      <w:r>
        <w:rPr>
          <w:rFonts w:ascii="Calibri" w:cs="Calibri" w:eastAsia="Calibri" w:hAnsi="Calibri"/>
          <w:b/>
          <w:bCs/>
          <w:color w:val="888888"/>
          <w:sz w:val="19"/>
          <w:szCs w:val="19"/>
        </w:rPr>
        <w:t xml:space="preserve">Nota.</w:t>
      </w:r>
      <w:r>
        <w:rPr>
          <w:rFonts w:ascii="Calibri" w:cs="Calibri" w:eastAsia="Calibri" w:hAnsi="Calibri"/>
          <w:i/>
          <w:iCs/>
          <w:color w:val="888888"/>
          <w:sz w:val="19"/>
          <w:szCs w:val="19"/>
        </w:rPr>
        <w:t xml:space="preserve"> Este informe ejecutivo es un resumen del Trabajo de Grado “Diseño de un plan de innovación para las áreas de mercadeo y comercial de la empresa Freskaleche S.A.S.”, elaborado por María Camila Ballesteros Peña como requisito para optar al título de Ingeniera Industrial en la Universidad Industrial de Santander (UIS), Bucaramanga, 2025. El documento completo, con referenciación bibliográfica en formato APA 7, se encuentra disponible a solicitud.</w:t>
      </w:r>
    </w:p>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2"/>
      </w:pBdr>
      <w:spacing w:before="80"/>
      <w:jc w:val="right"/>
    </w:pPr>
    <w:r>
      <w:rPr>
        <w:rFonts w:ascii="Calibri" w:cs="Calibri" w:eastAsia="Calibri" w:hAnsi="Calibri"/>
        <w:color w:val="888888"/>
        <w:sz w:val="16"/>
        <w:szCs w:val="16"/>
      </w:rPr>
      <w:t xml:space="preserve">Confidencial — Para uso interno de Freskaleche S.A.S.   </w:t>
    </w:r>
    <w:r>
      <w:rPr>
        <w:rFonts w:ascii="Calibri" w:cs="Calibri" w:eastAsia="Calibri" w:hAnsi="Calibri"/>
        <w:color w:val="888888"/>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0"/>
      <w:gridCol w:w="2638"/>
    </w:tblGrid>
    <w:tr>
      <w:tc>
        <w:tcPr>
          <w:tcW w:type="dxa" w:w="7000"/>
          <w:tcBorders>
            <w:top w:val="none" w:color="FFFFFF" w:sz="0"/>
            <w:left w:val="none" w:color="FFFFFF" w:sz="0"/>
            <w:bottom w:val="single" w:color="C9963A" w:sz="4"/>
            <w:right w:val="none" w:color="FFFFFF" w:sz="0"/>
          </w:tcBorders>
          <w:tcMar>
            <w:top w:type="dxa" w:w="60"/>
            <w:left w:type="dxa" w:w="0"/>
            <w:bottom w:type="dxa" w:w="60"/>
            <w:right w:type="dxa" w:w="0"/>
          </w:tcMar>
        </w:tcPr>
        <w:p>
          <w:r>
            <w:rPr>
              <w:rFonts w:ascii="Calibri" w:cs="Calibri" w:eastAsia="Calibri" w:hAnsi="Calibri"/>
              <w:b/>
              <w:bCs/>
              <w:caps/>
              <w:color w:val="0D1B3E"/>
              <w:sz w:val="17"/>
              <w:szCs w:val="17"/>
            </w:rPr>
            <w:t xml:space="preserve">INFORME EJECUTIVO — PLAN DE INNOVACIÓN</w:t>
          </w:r>
        </w:p>
      </w:tc>
      <w:tc>
        <w:tcPr>
          <w:tcW w:type="dxa" w:w="2638"/>
          <w:tcBorders>
            <w:top w:val="none" w:color="FFFFFF" w:sz="0"/>
            <w:left w:val="none" w:color="FFFFFF" w:sz="0"/>
            <w:bottom w:val="single" w:color="C9963A" w:sz="4"/>
            <w:right w:val="none" w:color="FFFFFF" w:sz="0"/>
          </w:tcBorders>
          <w:tcMar>
            <w:top w:type="dxa" w:w="60"/>
            <w:left w:type="dxa" w:w="0"/>
            <w:bottom w:type="dxa" w:w="60"/>
            <w:right w:type="dxa" w:w="0"/>
          </w:tcMar>
        </w:tcPr>
        <w:p>
          <w:pPr>
            <w:jc w:val="right"/>
          </w:pPr>
          <w:r>
            <w:rPr>
              <w:rFonts w:ascii="Calibri" w:cs="Calibri" w:eastAsia="Calibri" w:hAnsi="Calibri"/>
              <w:color w:val="888888"/>
              <w:sz w:val="17"/>
              <w:szCs w:val="17"/>
            </w:rPr>
            <w:t xml:space="preserve">Freskaleche S.A.S. | 2025</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2026-04-13T20:25:10.913Z</dcterms:created>
  <dcterms:modified xsi:type="dcterms:W3CDTF">2026-04-13T20:25:10.914Z</dcterms:modified>
</cp:coreProperties>
</file>

<file path=docProps/custom.xml><?xml version="1.0" encoding="utf-8"?>
<Properties xmlns="http://schemas.openxmlformats.org/officeDocument/2006/custom-properties" xmlns:vt="http://schemas.openxmlformats.org/officeDocument/2006/docPropsVTypes"/>
</file>